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Style11"/>
            </w:rPr>
            <w:instrText xml:space="preserve"> TOC \o "1-3" \h</w:instrText>
          </w:r>
          <w:r>
            <w:rPr>
              <w:rStyle w:val="Style11"/>
            </w:rPr>
            <w:fldChar w:fldCharType="separate"/>
          </w:r>
          <w:hyperlink w:anchor="__RefHeading___Toc2308_1773610119" w:tooltip="捭阖">
            <w:r>
              <w:rPr>
                <w:rStyle w:val="Style11"/>
              </w:rPr>
              <w:t>捭阖</w:t>
            </w:r>
            <w:r>
              <w:rPr>
                <w:rStyle w:val="Style11"/>
              </w:rPr>
              <w:tab/>
              <w:t>3</w:t>
            </w:r>
          </w:hyperlink>
        </w:p>
        <w:p>
          <w:pPr>
            <w:pStyle w:val="TOC1"/>
            <w:tabs>
              <w:tab w:val="clear" w:pos="9740"/>
              <w:tab w:val="right" w:pos="9739" w:leader="dot"/>
            </w:tabs>
            <w:rPr/>
          </w:pPr>
          <w:hyperlink w:anchor="__RefHeading___Toc2310_1773610119" w:tooltip="反应">
            <w:r>
              <w:rPr>
                <w:rStyle w:val="Style11"/>
              </w:rPr>
              <w:t>反应</w:t>
            </w:r>
            <w:r>
              <w:rPr>
                <w:rStyle w:val="Style11"/>
              </w:rPr>
              <w:tab/>
              <w:t>5</w:t>
            </w:r>
          </w:hyperlink>
        </w:p>
        <w:p>
          <w:pPr>
            <w:pStyle w:val="TOC1"/>
            <w:tabs>
              <w:tab w:val="clear" w:pos="9740"/>
              <w:tab w:val="right" w:pos="9739" w:leader="dot"/>
            </w:tabs>
            <w:rPr/>
          </w:pPr>
          <w:hyperlink w:anchor="__RefHeading___Toc2312_1773610119" w:tooltip="内楗">
            <w:r>
              <w:rPr>
                <w:rStyle w:val="Style11"/>
              </w:rPr>
              <w:t>内楗</w:t>
            </w:r>
            <w:r>
              <w:rPr>
                <w:rStyle w:val="Style11"/>
              </w:rPr>
              <w:tab/>
              <w:t>7</w:t>
            </w:r>
          </w:hyperlink>
        </w:p>
        <w:p>
          <w:pPr>
            <w:pStyle w:val="TOC1"/>
            <w:tabs>
              <w:tab w:val="clear" w:pos="9740"/>
              <w:tab w:val="right" w:pos="9739" w:leader="dot"/>
            </w:tabs>
            <w:rPr/>
          </w:pPr>
          <w:hyperlink w:anchor="__RefHeading___Toc2314_1773610119" w:tooltip="抵巇">
            <w:r>
              <w:rPr>
                <w:rStyle w:val="Style11"/>
              </w:rPr>
              <w:t>抵巇</w:t>
            </w:r>
            <w:r>
              <w:rPr>
                <w:rStyle w:val="Style11"/>
              </w:rPr>
              <w:tab/>
              <w:t>9</w:t>
            </w:r>
          </w:hyperlink>
        </w:p>
        <w:p>
          <w:pPr>
            <w:pStyle w:val="TOC1"/>
            <w:tabs>
              <w:tab w:val="clear" w:pos="9740"/>
              <w:tab w:val="right" w:pos="9739" w:leader="dot"/>
            </w:tabs>
            <w:rPr/>
          </w:pPr>
          <w:hyperlink w:anchor="__RefHeading___Toc2316_1773610119" w:tooltip="飞箝">
            <w:r>
              <w:rPr>
                <w:rStyle w:val="Style11"/>
              </w:rPr>
              <w:t>飞箝</w:t>
            </w:r>
            <w:r>
              <w:rPr>
                <w:rStyle w:val="Style11"/>
              </w:rPr>
              <w:tab/>
              <w:t>11</w:t>
            </w:r>
          </w:hyperlink>
        </w:p>
        <w:p>
          <w:pPr>
            <w:pStyle w:val="TOC1"/>
            <w:tabs>
              <w:tab w:val="clear" w:pos="9740"/>
              <w:tab w:val="right" w:pos="9739" w:leader="dot"/>
            </w:tabs>
            <w:rPr/>
          </w:pPr>
          <w:hyperlink w:anchor="__RefHeading___Toc2318_1773610119" w:tooltip="忤合">
            <w:r>
              <w:rPr>
                <w:rStyle w:val="Style11"/>
              </w:rPr>
              <w:t>忤合</w:t>
            </w:r>
            <w:r>
              <w:rPr>
                <w:rStyle w:val="Style11"/>
              </w:rPr>
              <w:tab/>
              <w:t>12</w:t>
            </w:r>
          </w:hyperlink>
        </w:p>
        <w:p>
          <w:pPr>
            <w:pStyle w:val="TOC1"/>
            <w:tabs>
              <w:tab w:val="clear" w:pos="9740"/>
              <w:tab w:val="right" w:pos="9739" w:leader="dot"/>
            </w:tabs>
            <w:rPr/>
          </w:pPr>
          <w:hyperlink w:anchor="__RefHeading___Toc2320_1773610119" w:tooltip="揣篇">
            <w:r>
              <w:rPr>
                <w:rStyle w:val="Style11"/>
              </w:rPr>
              <w:t>揣篇</w:t>
            </w:r>
            <w:r>
              <w:rPr>
                <w:rStyle w:val="Style11"/>
              </w:rPr>
              <w:tab/>
              <w:t>14</w:t>
            </w:r>
          </w:hyperlink>
        </w:p>
        <w:p>
          <w:pPr>
            <w:pStyle w:val="TOC1"/>
            <w:tabs>
              <w:tab w:val="clear" w:pos="9740"/>
              <w:tab w:val="right" w:pos="9739" w:leader="dot"/>
            </w:tabs>
            <w:rPr/>
          </w:pPr>
          <w:hyperlink w:anchor="__RefHeading___Toc2322_1773610119" w:tooltip="摩篇">
            <w:r>
              <w:rPr>
                <w:rStyle w:val="Style11"/>
              </w:rPr>
              <w:t>摩篇</w:t>
            </w:r>
            <w:r>
              <w:rPr>
                <w:rStyle w:val="Style11"/>
              </w:rPr>
              <w:tab/>
              <w:t>15</w:t>
            </w:r>
          </w:hyperlink>
        </w:p>
        <w:p>
          <w:pPr>
            <w:pStyle w:val="TOC1"/>
            <w:tabs>
              <w:tab w:val="clear" w:pos="9740"/>
              <w:tab w:val="right" w:pos="9739" w:leader="dot"/>
            </w:tabs>
            <w:rPr/>
          </w:pPr>
          <w:hyperlink w:anchor="__RefHeading___Toc2324_1773610119" w:tooltip="权篇">
            <w:r>
              <w:rPr>
                <w:rStyle w:val="Style11"/>
              </w:rPr>
              <w:t>权篇</w:t>
            </w:r>
            <w:r>
              <w:rPr>
                <w:rStyle w:val="Style11"/>
              </w:rPr>
              <w:tab/>
              <w:t>17</w:t>
            </w:r>
          </w:hyperlink>
        </w:p>
        <w:p>
          <w:pPr>
            <w:pStyle w:val="TOC1"/>
            <w:tabs>
              <w:tab w:val="clear" w:pos="9740"/>
              <w:tab w:val="right" w:pos="9739" w:leader="dot"/>
            </w:tabs>
            <w:rPr/>
          </w:pPr>
          <w:hyperlink w:anchor="__RefHeading___Toc2326_1773610119" w:tooltip="谋篇">
            <w:r>
              <w:rPr>
                <w:rStyle w:val="Style11"/>
              </w:rPr>
              <w:t>谋篇</w:t>
            </w:r>
            <w:r>
              <w:rPr>
                <w:rStyle w:val="Style11"/>
              </w:rPr>
              <w:tab/>
              <w:t>19</w:t>
            </w:r>
          </w:hyperlink>
        </w:p>
        <w:p>
          <w:pPr>
            <w:pStyle w:val="TOC1"/>
            <w:tabs>
              <w:tab w:val="clear" w:pos="9740"/>
              <w:tab w:val="right" w:pos="9739" w:leader="dot"/>
            </w:tabs>
            <w:rPr/>
          </w:pPr>
          <w:hyperlink w:anchor="__RefHeading___Toc2328_1773610119" w:tooltip="决篇">
            <w:r>
              <w:rPr>
                <w:rStyle w:val="Style11"/>
              </w:rPr>
              <w:t>决篇</w:t>
            </w:r>
            <w:r>
              <w:rPr>
                <w:rStyle w:val="Style11"/>
              </w:rPr>
              <w:tab/>
              <w:t>21</w:t>
            </w:r>
          </w:hyperlink>
        </w:p>
        <w:p>
          <w:pPr>
            <w:pStyle w:val="TOC1"/>
            <w:tabs>
              <w:tab w:val="clear" w:pos="9740"/>
              <w:tab w:val="right" w:pos="9739" w:leader="dot"/>
            </w:tabs>
            <w:rPr/>
          </w:pPr>
          <w:hyperlink w:anchor="__RefHeading___Toc2330_1773610119" w:tooltip="符言">
            <w:r>
              <w:rPr>
                <w:rStyle w:val="Style11"/>
              </w:rPr>
              <w:t>符言</w:t>
            </w:r>
            <w:r>
              <w:rPr>
                <w:rStyle w:val="Style11"/>
              </w:rPr>
              <w:tab/>
              <w:t>22</w:t>
            </w:r>
          </w:hyperlink>
        </w:p>
        <w:p>
          <w:pPr>
            <w:pStyle w:val="TOC1"/>
            <w:tabs>
              <w:tab w:val="clear" w:pos="9740"/>
              <w:tab w:val="right" w:pos="9739" w:leader="dot"/>
            </w:tabs>
            <w:rPr/>
          </w:pPr>
          <w:hyperlink w:anchor="__RefHeading___Toc2332_1773610119" w:tooltip="转丸">
            <w:r>
              <w:rPr>
                <w:rStyle w:val="Style11"/>
              </w:rPr>
              <w:t>转丸</w:t>
            </w:r>
            <w:r>
              <w:rPr>
                <w:rStyle w:val="Style11"/>
              </w:rPr>
              <w:tab/>
              <w:t>24</w:t>
            </w:r>
          </w:hyperlink>
        </w:p>
        <w:p>
          <w:pPr>
            <w:pStyle w:val="TOC1"/>
            <w:tabs>
              <w:tab w:val="clear" w:pos="9740"/>
              <w:tab w:val="right" w:pos="9739" w:leader="dot"/>
            </w:tabs>
            <w:rPr/>
          </w:pPr>
          <w:hyperlink w:anchor="__RefHeading___Toc2334_1773610119" w:tooltip="却乱">
            <w:r>
              <w:rPr>
                <w:rStyle w:val="Style11"/>
              </w:rPr>
              <w:t>却乱</w:t>
            </w:r>
            <w:r>
              <w:rPr>
                <w:rStyle w:val="Style11"/>
              </w:rPr>
              <w:tab/>
              <w:t>25</w:t>
            </w:r>
          </w:hyperlink>
        </w:p>
        <w:p>
          <w:pPr>
            <w:pStyle w:val="TOC1"/>
            <w:tabs>
              <w:tab w:val="clear" w:pos="9740"/>
              <w:tab w:val="right" w:pos="9739" w:leader="dot"/>
            </w:tabs>
            <w:rPr/>
          </w:pPr>
          <w:hyperlink w:anchor="__RefHeading___Toc1620_2803666824_%25E5%" w:tooltip="持枢">
            <w:r>
              <w:rPr>
                <w:rStyle w:val="Style11"/>
              </w:rPr>
              <w:t>持枢</w:t>
            </w:r>
            <w:r>
              <w:rPr>
                <w:rStyle w:val="Style11"/>
              </w:rPr>
              <w:tab/>
              <w:t>26</w:t>
            </w:r>
          </w:hyperlink>
        </w:p>
        <w:p>
          <w:pPr>
            <w:pStyle w:val="TOC1"/>
            <w:tabs>
              <w:tab w:val="clear" w:pos="9740"/>
              <w:tab w:val="right" w:pos="9739" w:leader="dot"/>
            </w:tabs>
            <w:rPr/>
          </w:pPr>
          <w:hyperlink w:anchor="__RefHeading___Toc1622_2803666824_%25E5%" w:tooltip="中经">
            <w:r>
              <w:rPr>
                <w:rStyle w:val="Style11"/>
              </w:rPr>
              <w:t>中经</w:t>
            </w:r>
            <w:r>
              <w:rPr>
                <w:rStyle w:val="Style11"/>
              </w:rPr>
              <w:tab/>
              <w:t>27</w:t>
            </w:r>
          </w:hyperlink>
        </w:p>
        <w:p>
          <w:pPr>
            <w:pStyle w:val="TOC1"/>
            <w:tabs>
              <w:tab w:val="clear" w:pos="9740"/>
              <w:tab w:val="right" w:pos="9739" w:leader="dot"/>
            </w:tabs>
            <w:rPr/>
          </w:pPr>
          <w:hyperlink w:anchor="__RefHeading___Toc2336_1773610119" w:tooltip="盛神法五龙">
            <w:r>
              <w:rPr>
                <w:rStyle w:val="Style11"/>
              </w:rPr>
              <w:t>盛神法五龙</w:t>
            </w:r>
            <w:r>
              <w:rPr>
                <w:rStyle w:val="Style11"/>
              </w:rPr>
              <w:tab/>
              <w:t>29</w:t>
            </w:r>
          </w:hyperlink>
        </w:p>
        <w:p>
          <w:pPr>
            <w:pStyle w:val="TOC1"/>
            <w:tabs>
              <w:tab w:val="clear" w:pos="9740"/>
              <w:tab w:val="right" w:pos="9739" w:leader="dot"/>
            </w:tabs>
            <w:rPr/>
          </w:pPr>
          <w:hyperlink w:anchor="__RefHeading___Toc2338_1773610119" w:tooltip="养志法灵龟">
            <w:r>
              <w:rPr>
                <w:rStyle w:val="Style11"/>
              </w:rPr>
              <w:t>养志法灵龟</w:t>
            </w:r>
            <w:r>
              <w:rPr>
                <w:rStyle w:val="Style11"/>
              </w:rPr>
              <w:tab/>
              <w:t>31</w:t>
            </w:r>
          </w:hyperlink>
        </w:p>
        <w:p>
          <w:pPr>
            <w:pStyle w:val="TOC1"/>
            <w:tabs>
              <w:tab w:val="clear" w:pos="9740"/>
              <w:tab w:val="right" w:pos="9739" w:leader="dot"/>
            </w:tabs>
            <w:rPr/>
          </w:pPr>
          <w:hyperlink w:anchor="__RefHeading___Toc2340_1773610119" w:tooltip="实意法螣蛇">
            <w:r>
              <w:rPr>
                <w:rStyle w:val="Style11"/>
              </w:rPr>
              <w:t>实意法螣蛇</w:t>
            </w:r>
            <w:r>
              <w:rPr>
                <w:rStyle w:val="Style11"/>
              </w:rPr>
              <w:tab/>
              <w:t>32</w:t>
            </w:r>
          </w:hyperlink>
        </w:p>
        <w:p>
          <w:pPr>
            <w:pStyle w:val="TOC1"/>
            <w:tabs>
              <w:tab w:val="clear" w:pos="9740"/>
              <w:tab w:val="right" w:pos="9739" w:leader="dot"/>
            </w:tabs>
            <w:rPr/>
          </w:pPr>
          <w:hyperlink w:anchor="__RefHeading___Toc2342_1773610119" w:tooltip="分威法伏熊">
            <w:r>
              <w:rPr>
                <w:rStyle w:val="Style11"/>
              </w:rPr>
              <w:t>分威法伏熊</w:t>
            </w:r>
            <w:r>
              <w:rPr>
                <w:rStyle w:val="Style11"/>
              </w:rPr>
              <w:tab/>
              <w:t>33</w:t>
            </w:r>
          </w:hyperlink>
        </w:p>
        <w:p>
          <w:pPr>
            <w:pStyle w:val="TOC1"/>
            <w:tabs>
              <w:tab w:val="clear" w:pos="9740"/>
              <w:tab w:val="right" w:pos="9739" w:leader="dot"/>
            </w:tabs>
            <w:rPr/>
          </w:pPr>
          <w:hyperlink w:anchor="__RefHeading___Toc2344_1773610119" w:tooltip="散势法鸷鸟">
            <w:r>
              <w:rPr>
                <w:rStyle w:val="Style11"/>
              </w:rPr>
              <w:t>散势法鸷鸟</w:t>
            </w:r>
            <w:r>
              <w:rPr>
                <w:rStyle w:val="Style11"/>
              </w:rPr>
              <w:tab/>
              <w:t>33</w:t>
            </w:r>
          </w:hyperlink>
        </w:p>
        <w:p>
          <w:pPr>
            <w:pStyle w:val="TOC1"/>
            <w:tabs>
              <w:tab w:val="clear" w:pos="9740"/>
              <w:tab w:val="right" w:pos="9739" w:leader="dot"/>
            </w:tabs>
            <w:rPr/>
          </w:pPr>
          <w:hyperlink w:anchor="__RefHeading___Toc2346_1773610119" w:tooltip="转圆法猛兽">
            <w:r>
              <w:rPr>
                <w:rStyle w:val="Style11"/>
              </w:rPr>
              <w:t>转圆法猛兽</w:t>
            </w:r>
            <w:r>
              <w:rPr>
                <w:rStyle w:val="Style11"/>
              </w:rPr>
              <w:tab/>
              <w:t>34</w:t>
            </w:r>
          </w:hyperlink>
        </w:p>
        <w:p>
          <w:pPr>
            <w:pStyle w:val="TOC1"/>
            <w:tabs>
              <w:tab w:val="clear" w:pos="9740"/>
              <w:tab w:val="right" w:pos="9739" w:leader="dot"/>
            </w:tabs>
            <w:rPr/>
          </w:pPr>
          <w:hyperlink w:anchor="__RefHeading___Toc2348_1773610119" w:tooltip="损兑法灵蓍">
            <w:r>
              <w:rPr>
                <w:rStyle w:val="Style11"/>
              </w:rPr>
              <w:t>损兑法灵蓍</w:t>
            </w:r>
            <w:r>
              <w:rPr>
                <w:rStyle w:val="Style11"/>
              </w:rPr>
              <w:tab/>
              <w:t>35</w:t>
            </w:r>
          </w:hyperlink>
          <w:r>
            <w:rPr>
              <w:rStyle w:val="Style11"/>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30321428"/>
      <w:bookmarkStart w:id="2" w:name="_Toc107271697"/>
      <w:bookmarkStart w:id="3" w:name="_Toc47593226"/>
      <w:bookmarkStart w:id="4" w:name="_Toc30321382"/>
      <w:bookmarkStart w:id="5" w:name="_Toc153345581"/>
      <w:bookmarkStart w:id="6" w:name="_Toc11865"/>
      <w:bookmarkStart w:id="7" w:name="_Toc1756558214"/>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细观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然后可以捭，然后可以阖；然后可以擢进，然后可以黜退；然后可以轻视，然后可以敬重，要顺应自然规律去主导他们。详细观察后判定（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详细观察并弄明白对方的计谋，以推究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事先详细观察其变化，这关系到吉凶大命。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w:t>
      </w:r>
      <w:r>
        <w:rPr>
          <w:rFonts w:ascii="华文宋体" w:hAnsi="华文宋体" w:eastAsia="华文宋体"/>
          <w:b/>
          <w:bCs/>
          <w:color w:val="000000"/>
        </w:rPr>
        <w:t>形</w:t>
      </w:r>
      <w:r>
        <w:rPr>
          <w:rFonts w:ascii="华文宋体" w:hAnsi="华文宋体" w:cs="Lucida Sans" w:eastAsia="华文宋体"/>
          <w:color w:val="7F7F7F"/>
          <w:kern w:val="2"/>
          <w:sz w:val="15"/>
          <w:szCs w:val="15"/>
          <w:lang w:val="en-US" w:eastAsia="zh-CN" w:bidi="hi-IN"/>
        </w:rPr>
        <w:t>（表现、显现）</w:t>
      </w:r>
      <w:r>
        <w:rPr>
          <w:rFonts w:ascii="华文宋体" w:hAnsi="华文宋体" w:eastAsia="华文宋体"/>
          <w:color w:val="000000"/>
        </w:rPr>
        <w:t>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且前行；阴，静止且隐藏。阳，活动且显出；阴，隐蔽且潜入。阳返还停止于阴，阴到了极点返阳。以阳的方式开展活动的人，靠道德帮助生存；以阴的方式获得宁静的人，靠表现帮助成就。以阳的方式去求助阴，包容对方以道德；以阴的方式去结交阳，给予对方以助力；阴阳相互求助，则凭借捭阖。这是天地阴阳的规律，而且是游说他人的方法，为万事成败的先决条件，因此被称作“随物赋形的机栝”。</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59951715"/>
      <w:bookmarkStart w:id="10" w:name="_Toc30321383"/>
      <w:bookmarkStart w:id="11" w:name="_Toc30321429"/>
      <w:bookmarkStart w:id="12" w:name="_Toc47593227"/>
      <w:bookmarkStart w:id="13" w:name="_Toc2372"/>
      <w:bookmarkStart w:id="14" w:name="_Toc153345582"/>
      <w:bookmarkStart w:id="15" w:name="_Toc867234267"/>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（基础；事业的根本）</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确定谈话的基础。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是用鬼神莫测的手段来获得实情。当应变得当，就能在主导对方时做到详细观察。主导对方时不能做到详细观察，（是因为）从对方获得的实情不明了；获得的实情不明了，确定谈话基础时不能做到详细观察。</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详细观察并预先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644679059"/>
      <w:bookmarkStart w:id="18" w:name="_Toc47593228"/>
      <w:bookmarkStart w:id="19" w:name="_Toc11519"/>
      <w:bookmarkStart w:id="20" w:name="_Toc153345583"/>
      <w:bookmarkStart w:id="21" w:name="_Toc30321430"/>
      <w:bookmarkStart w:id="22" w:name="_Toc30321384"/>
      <w:bookmarkStart w:id="23" w:name="_Toc1908579548"/>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然后揣度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详细观察了解地理形势，如此通达于天，利用四时的变化；这样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获得对方的实情，然后制定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557920471"/>
      <w:bookmarkStart w:id="26" w:name="_Toc13255"/>
      <w:bookmarkStart w:id="27" w:name="_Toc47593229"/>
      <w:bookmarkStart w:id="28" w:name="_Toc153345584"/>
      <w:bookmarkStart w:id="29" w:name="_Toc30321431"/>
      <w:bookmarkStart w:id="30" w:name="_Toc30321385"/>
      <w:bookmarkStart w:id="31" w:name="_Toc169724352"/>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本。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47593230"/>
      <w:bookmarkStart w:id="34" w:name="_Toc23349"/>
      <w:bookmarkStart w:id="35" w:name="_Toc30321432"/>
      <w:bookmarkStart w:id="36" w:name="_Toc264642135"/>
      <w:bookmarkStart w:id="37" w:name="_Toc153345585"/>
      <w:bookmarkStart w:id="38" w:name="_Toc30321386"/>
      <w:bookmarkStart w:id="39" w:name="_Toc1943437535"/>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势头而后裁决事情，必须先观察双方观点的相同点和不同点，辨别出对方言语中的是与非，看见对方言语中表面和深层的含义。识别对方是否有方法决安危之计、判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势头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势头，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30321387"/>
      <w:bookmarkStart w:id="42" w:name="_Toc153345586"/>
      <w:bookmarkStart w:id="43" w:name="_Toc15496"/>
      <w:bookmarkStart w:id="44" w:name="_Toc30321433"/>
      <w:bookmarkStart w:id="45" w:name="_Toc47593231"/>
      <w:bookmarkStart w:id="46" w:name="_Toc1452349820"/>
      <w:bookmarkStart w:id="47" w:name="_Toc1249941778"/>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势头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w:t>
      </w:r>
      <w:r>
        <w:rPr>
          <w:rFonts w:ascii="华文宋体" w:hAnsi="华文宋体" w:eastAsia="华文宋体"/>
          <w:b/>
          <w:bCs/>
          <w:color w:val="000000"/>
        </w:rPr>
        <w:t>乃</w:t>
      </w:r>
      <w:r>
        <w:rPr>
          <w:rFonts w:ascii="华文宋体" w:hAnsi="华文宋体" w:cs="Lucida Sans" w:eastAsia="华文宋体"/>
          <w:color w:val="7F7F7F"/>
          <w:kern w:val="2"/>
          <w:sz w:val="15"/>
          <w:szCs w:val="15"/>
          <w:lang w:val="en-US" w:eastAsia="zh-CN" w:bidi="hi-IN"/>
        </w:rPr>
        <w:t>（这样，如此）</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如此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可以前进，如此可以后退，如此可以合纵，如此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47593232"/>
      <w:bookmarkStart w:id="50" w:name="_Toc1401013603"/>
      <w:bookmarkStart w:id="51" w:name="_Toc12517"/>
      <w:bookmarkStart w:id="52" w:name="_Toc30321434"/>
      <w:bookmarkStart w:id="53" w:name="_Toc153345587"/>
      <w:bookmarkStart w:id="54" w:name="_Toc30321388"/>
      <w:bookmarkStart w:id="55" w:name="_Toc720891011"/>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观察，就不知道哪个诸侯国强大、哪个诸侯国弱小、哪个诸侯国不重要、哪个诸侯国重要；揣度（考虑估量）实情时不详细观察，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度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然后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观察再对权力进行估量；游说诸侯国的君主，则应当详细观察再揣度实情，一切谋划和思虑、情感和欲望的出发点必定出于这个考虑。如此可以让人富贵，如此可以让人贫贱；如此可以让人被重视，如此可以让人被轻贱；如此可以让人获得利益，如此可以让人遭到损害；如此可以让人成功，如此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势头。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53345588"/>
      <w:bookmarkStart w:id="58" w:name="_Toc30321389"/>
      <w:bookmarkStart w:id="59" w:name="_Toc30321435"/>
      <w:bookmarkStart w:id="60" w:name="_Toc710633081"/>
      <w:bookmarkStart w:id="61" w:name="_Toc27965"/>
      <w:bookmarkStart w:id="62" w:name="_Toc47593233"/>
      <w:bookmarkStart w:id="63" w:name="_Toc1614659360"/>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（然后、于是）</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势头上也是这样的。这里是说要仔细观察与内心活动相符合的外在反应，对外在反应的猜摩也要像这样。所以说：用以类相从的方式去猜摩，焉有不相呼应的？然后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47593234"/>
      <w:bookmarkStart w:id="66" w:name="_Toc30321436"/>
      <w:bookmarkStart w:id="67" w:name="_Toc1178"/>
      <w:bookmarkStart w:id="68" w:name="_Toc153345589"/>
      <w:bookmarkStart w:id="69" w:name="_Toc30321390"/>
      <w:bookmarkStart w:id="70" w:name="_Toc585797414"/>
      <w:bookmarkStart w:id="71" w:name="_Toc19483083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（特指人）</w:t>
      </w:r>
      <w:r>
        <w:rPr>
          <w:rFonts w:ascii="华文宋体" w:hAnsi="华文宋体" w:eastAsia="华文宋体"/>
          <w:color w:val="000000"/>
        </w:rPr>
        <w:t>有不通者，圣人故不事也。古人有言曰：“口可以食，不可以言。”言者，有讳忌也。众口铄金，言有曲故也。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能够对他人游说，就不能打开对方的心扉；不能够让人来游说，就不能得到对方的谋略。双方信息不通畅的，圣智之人不会去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所以有智慧的人决不会使用自己的短处，而去利用愚蠢者的长处；不用自己不擅长之处，而去利用愚蠢者的工巧之处，所以不会陷于困窘。谈论其有利之处，是想要发挥其长处；谈论其有害之处，是想要避开其短处。所以有甲壳的动物保护自己，一定是凭借自己甲壳的坚厚；有毒刺的动物进攻别人，一定是发挥自己的毒刺的威力。所以连禽兽都知道利用自己长处，这个谈话的人也应该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所以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所以游说智慧的人依靠博识多闻，游说博识多闻的人依靠条理明晰，游说条理明晰的人依靠切中要点，游说显贵的人依靠势头，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所以与智慧的人谈话时，就用这些方法去阐明道理；与愚笨的人谈话时，就要把这些方法教给他，然而事实上很难做到。所以谈话要多谈些共同话题，做事要多运用权变。那即使整日谈话也不会失去共同话题，那这个谈话过程也不会混乱。整日不变换话题，也不会偏离谈话的主旨。所以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911504720"/>
      <w:bookmarkStart w:id="74" w:name="_Toc47593235"/>
      <w:bookmarkStart w:id="75" w:name="_Toc20293"/>
      <w:bookmarkStart w:id="76" w:name="_Toc30321391"/>
      <w:bookmarkStart w:id="77" w:name="_Toc30321437"/>
      <w:bookmarkStart w:id="78" w:name="_Toc153345590"/>
      <w:bookmarkStart w:id="79" w:name="_Toc1224311797"/>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w:t>
      </w:r>
      <w:r>
        <w:rPr>
          <w:rFonts w:ascii="华文宋体" w:hAnsi="华文宋体" w:eastAsia="华文宋体"/>
          <w:b/>
          <w:bCs/>
          <w:color w:val="000000"/>
        </w:rPr>
        <w:t>仪</w:t>
      </w:r>
      <w:r>
        <w:rPr>
          <w:rFonts w:ascii="华文宋体" w:hAnsi="华文宋体" w:cs="Lucida Sans" w:eastAsia="华文宋体"/>
          <w:color w:val="7F7F7F"/>
          <w:kern w:val="2"/>
          <w:sz w:val="15"/>
          <w:szCs w:val="15"/>
          <w:lang w:val="en-US" w:eastAsia="zh-CN" w:bidi="hi-IN"/>
        </w:rPr>
        <w:t>（拟想；推测；忖度）</w:t>
      </w:r>
      <w:r>
        <w:rPr>
          <w:rFonts w:ascii="华文宋体" w:hAnsi="华文宋体" w:eastAsia="华文宋体"/>
          <w:color w:val="000000"/>
        </w:rPr>
        <w:t>。三仪者，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观察并获得其实情，然后设立三种打算。所谓三种打算，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他人的才干，估量他人的能力，揣度他人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所以（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之，因其患以斥之。摩而恐之，高而动之，微而正之，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势头去成就他；要顺着对方的憎恶去为他权衡；要顺着对方的祸患去为他排除。猜摩他的心意，然后恐吓他；抬高他的地位，然后调动他；衰败他的事业，然后纠正他；为他设计一个征兆，然后经过操作使之应验；先拥戴推举他，然后闭塞他（的耳目）；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他人有某种爱好，就要效仿并顺应；如果他人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6958"/>
      <w:bookmarkStart w:id="83" w:name="_Toc153345591"/>
      <w:bookmarkStart w:id="84" w:name="_Toc30321438"/>
      <w:bookmarkStart w:id="85" w:name="_Toc30321392"/>
      <w:bookmarkStart w:id="86" w:name="_Toc47593236"/>
      <w:bookmarkStart w:id="87" w:name="_Toc662898066"/>
      <w:bookmarkStart w:id="88" w:name="_Toc720541667"/>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要引诱对方讲出实情，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w:t>
      </w:r>
      <w:r>
        <w:rPr>
          <w:rFonts w:ascii="华文宋体" w:hAnsi="华文宋体" w:eastAsia="华文宋体"/>
          <w:b/>
          <w:bCs/>
          <w:color w:val="000000"/>
        </w:rPr>
        <w:t>贼</w:t>
      </w:r>
      <w:r>
        <w:rPr>
          <w:rFonts w:ascii="华文宋体" w:hAnsi="华文宋体" w:cs="Lucida Sans" w:eastAsia="华文宋体"/>
          <w:color w:val="7F7F7F"/>
          <w:kern w:val="2"/>
          <w:sz w:val="15"/>
          <w:szCs w:val="15"/>
          <w:lang w:val="en-US" w:eastAsia="zh-CN" w:bidi="hi-IN"/>
        </w:rPr>
        <w:t>（残害；伤害）</w:t>
      </w:r>
      <w:r>
        <w:rPr>
          <w:rFonts w:ascii="华文宋体" w:hAnsi="华文宋体" w:eastAsia="华文宋体"/>
          <w:color w:val="000000"/>
        </w:rPr>
        <w:t>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以过去的经验作为推测，来验证未来事情的发展趋势，再以平素的案例作为参考，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153345592"/>
      <w:bookmarkStart w:id="91" w:name="_Toc1459315182"/>
      <w:bookmarkStart w:id="92" w:name="_Toc22821"/>
      <w:bookmarkStart w:id="93" w:name="_Toc30321439"/>
      <w:bookmarkStart w:id="94" w:name="_Toc47593237"/>
      <w:bookmarkStart w:id="95" w:name="_Toc30321393"/>
      <w:bookmarkStart w:id="96" w:name="_Toc94000705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并根据规定赏赐和刑罚，就不会劳累。圣智之人运用这种方法，那能够赏赐和刑罚；根据要求且遵循道理，那能够长久。以上帮助君主根据要求来管理官吏！</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法（合宜），得法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Start w:id="98" w:name="_GoBack_副本_1"/>
      <w:bookmarkEnd w:id="98"/>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9" w:name="__RefHeading___Toc2332_1773610119"/>
      <w:bookmarkStart w:id="100" w:name="_Toc30321394"/>
      <w:bookmarkStart w:id="101" w:name="_Toc153345593"/>
      <w:bookmarkStart w:id="102" w:name="_Toc30321440"/>
      <w:bookmarkStart w:id="103" w:name="_Toc47593238"/>
      <w:bookmarkStart w:id="104" w:name="_Toc2528"/>
      <w:bookmarkStart w:id="105" w:name="_Toc1194849932"/>
      <w:bookmarkStart w:id="106" w:name="_Toc250844796"/>
      <w:bookmarkEnd w:id="99"/>
      <w:r>
        <w:rPr>
          <w:rFonts w:ascii="华文宋体" w:hAnsi="华文宋体" w:eastAsia="华文宋体"/>
          <w:b w:val="false"/>
          <w:bCs w:val="false"/>
          <w:color w:val="000000"/>
        </w:rPr>
        <w:t>转丸</w:t>
      </w:r>
      <w:bookmarkEnd w:id="100"/>
      <w:bookmarkEnd w:id="101"/>
      <w:bookmarkEnd w:id="102"/>
      <w:bookmarkEnd w:id="103"/>
      <w:bookmarkEnd w:id="104"/>
      <w:bookmarkEnd w:id="105"/>
      <w:bookmarkEnd w:id="106"/>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7" w:name="_Hlk180865361"/>
      <w:r>
        <w:rPr>
          <w:rFonts w:ascii="华文宋体" w:hAnsi="华文宋体" w:eastAsia="华文宋体"/>
        </w:rPr>
        <w:t>戳</w:t>
      </w:r>
      <w:bookmarkEnd w:id="107"/>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势头如果不能发挥作用，等待畜养一段时间后再成就；时机没有满足，安静地加以等候。积蓄恩德去营造势头，如同执形可以驱影；动必有应，行必有随，转丸如同戏耍一样。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势头的强弱，胜在强大势头造成的必然；利用机会巧妙地转化和改变，要旨在微弱地徐图之。强和弱互相衬托着显现出来，随着机会而行动，合宜地进行，运转于势头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8" w:name="__RefHeading___Toc2334_1773610119"/>
      <w:bookmarkStart w:id="109" w:name="_Toc1178546249"/>
      <w:bookmarkStart w:id="110" w:name="_Toc30321441"/>
      <w:bookmarkStart w:id="111" w:name="_Toc47593239"/>
      <w:bookmarkStart w:id="112" w:name="_Toc153345594"/>
      <w:bookmarkStart w:id="113" w:name="_Toc2240"/>
      <w:bookmarkStart w:id="114" w:name="_Toc30321395"/>
      <w:bookmarkStart w:id="115" w:name="_Toc1342299349"/>
      <w:bookmarkEnd w:id="108"/>
      <w:r>
        <w:rPr>
          <w:rFonts w:ascii="华文宋体" w:hAnsi="华文宋体" w:eastAsia="华文宋体"/>
          <w:b w:val="false"/>
          <w:bCs w:val="false"/>
          <w:color w:val="000000"/>
        </w:rPr>
        <w:t>却乱</w:t>
      </w:r>
      <w:bookmarkEnd w:id="109"/>
      <w:bookmarkEnd w:id="110"/>
      <w:bookmarkEnd w:id="111"/>
      <w:bookmarkEnd w:id="112"/>
      <w:bookmarkEnd w:id="113"/>
      <w:bookmarkEnd w:id="114"/>
      <w:bookmarkEnd w:id="115"/>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所谓乱，就是条文和道理失调，诸事颠倒，毁了势头困囿了自身。却，就是消解约束，化解并消融阻塞，急迫之时的运用。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势头，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6" w:name="__RefHeading___Toc1620_2803666824_副本_1_副"/>
      <w:bookmarkStart w:id="117" w:name="_Toc153345595_副本_1_副本_1"/>
      <w:bookmarkStart w:id="118" w:name="_Toc1406991709_副本_1"/>
      <w:bookmarkStart w:id="119" w:name="_Toc1495_副本_1"/>
      <w:bookmarkStart w:id="120" w:name="_Toc47593240_副本_1_副本_1"/>
      <w:bookmarkStart w:id="121" w:name="_Toc30321449_副本_1"/>
      <w:bookmarkStart w:id="122" w:name="_Toc30321403_副本_1"/>
      <w:bookmarkStart w:id="123" w:name="_Toc1482718402_副本_1"/>
      <w:bookmarkEnd w:id="116"/>
      <w:r>
        <w:rPr>
          <w:rFonts w:ascii="华文宋体" w:hAnsi="华文宋体" w:eastAsia="华文宋体"/>
          <w:b w:val="false"/>
          <w:bCs w:val="false"/>
          <w:color w:val="000000"/>
        </w:rPr>
        <w:t>持枢</w:t>
      </w:r>
      <w:bookmarkEnd w:id="117"/>
      <w:bookmarkEnd w:id="118"/>
      <w:bookmarkEnd w:id="119"/>
      <w:bookmarkEnd w:id="120"/>
      <w:bookmarkEnd w:id="121"/>
      <w:bookmarkEnd w:id="122"/>
      <w:bookmarkEnd w:id="123"/>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4" w:name="__RefHeading___Toc1622_2803666824_副本_1_副"/>
      <w:bookmarkStart w:id="125" w:name="_Toc153345596_副本_1_副本_1"/>
      <w:bookmarkStart w:id="126" w:name="_Toc47593241_副本_1_副本_1"/>
      <w:bookmarkStart w:id="127" w:name="_Toc30321404_副本_1"/>
      <w:bookmarkStart w:id="128" w:name="_Toc17765_副本_1"/>
      <w:bookmarkStart w:id="129" w:name="_Toc76662972_副本_1"/>
      <w:bookmarkStart w:id="130" w:name="_Toc30321450_副本_1"/>
      <w:bookmarkStart w:id="131" w:name="_Toc178184531_副本_1"/>
      <w:bookmarkEnd w:id="124"/>
      <w:r>
        <w:rPr>
          <w:rFonts w:ascii="华文宋体" w:hAnsi="华文宋体" w:eastAsia="华文宋体"/>
          <w:b w:val="false"/>
          <w:bCs w:val="false"/>
          <w:color w:val="000000"/>
        </w:rPr>
        <w:t>中经</w:t>
      </w:r>
      <w:bookmarkEnd w:id="125"/>
      <w:bookmarkEnd w:id="126"/>
      <w:bookmarkEnd w:id="127"/>
      <w:bookmarkEnd w:id="128"/>
      <w:bookmarkEnd w:id="129"/>
      <w:bookmarkEnd w:id="130"/>
      <w:bookmarkEnd w:id="131"/>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2" w:name="__RefHeading___Toc2336_1773610119"/>
      <w:bookmarkStart w:id="133" w:name="_Toc47593242"/>
      <w:bookmarkStart w:id="134" w:name="_Toc715452631"/>
      <w:bookmarkStart w:id="135" w:name="_Toc153345597"/>
      <w:bookmarkStart w:id="136" w:name="_Toc9755"/>
      <w:bookmarkStart w:id="137" w:name="_Toc30321442"/>
      <w:bookmarkStart w:id="138" w:name="_Toc30321396"/>
      <w:bookmarkStart w:id="139" w:name="_Toc1773995429"/>
      <w:bookmarkEnd w:id="132"/>
      <w:r>
        <w:rPr>
          <w:rFonts w:ascii="华文宋体" w:hAnsi="华文宋体" w:eastAsia="华文宋体"/>
          <w:b w:val="false"/>
          <w:bCs w:val="false"/>
          <w:color w:val="000000"/>
        </w:rPr>
        <w:t>盛神法五龙</w:t>
      </w:r>
      <w:bookmarkEnd w:id="133"/>
      <w:bookmarkEnd w:id="134"/>
      <w:bookmarkEnd w:id="135"/>
      <w:bookmarkEnd w:id="136"/>
      <w:bookmarkEnd w:id="137"/>
      <w:bookmarkEnd w:id="138"/>
      <w:bookmarkEnd w:id="139"/>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所以品德涵养五气，思想能得到“一”，然后产生方法。方法，是思想和气息的引导，所自释放处，精神然后为之所支使。人体的九个孔窍和十二舍，是气息的门户，是思想的总管。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蓄养气息，蓄养气息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作官的人，通达这个“精神旺盛”，然后能够修养志向。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40" w:name="__RefHeading___Toc2338_1773610119"/>
      <w:bookmarkStart w:id="141" w:name="_Toc153345598"/>
      <w:bookmarkStart w:id="142" w:name="_Toc30321397"/>
      <w:bookmarkStart w:id="143" w:name="_Toc47593243"/>
      <w:bookmarkStart w:id="144" w:name="_Toc30321443"/>
      <w:bookmarkStart w:id="145" w:name="_Toc22664"/>
      <w:bookmarkStart w:id="146" w:name="_Toc192592109"/>
      <w:bookmarkStart w:id="147" w:name="_Toc841495716"/>
      <w:bookmarkEnd w:id="140"/>
      <w:r>
        <w:rPr>
          <w:rFonts w:ascii="华文宋体" w:hAnsi="华文宋体" w:eastAsia="华文宋体"/>
          <w:b w:val="false"/>
          <w:bCs w:val="false"/>
          <w:color w:val="000000"/>
        </w:rPr>
        <w:t>养志法灵龟</w:t>
      </w:r>
      <w:bookmarkEnd w:id="141"/>
      <w:bookmarkEnd w:id="142"/>
      <w:bookmarkEnd w:id="143"/>
      <w:bookmarkEnd w:id="144"/>
      <w:bookmarkEnd w:id="145"/>
      <w:bookmarkEnd w:id="146"/>
      <w:bookmarkEnd w:id="147"/>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修养志向，是因思想和气息的思考不畅达。有所欲望，志向存在并思考（以满足欲望）。志向，受欲望的驱使。欲望多，则思想就会涣散；思想涣散，则志向就会衰弱；志向衰弱，则思考就不能畅达。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气息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气息和志向的，了解他人气息的盛衰，而且要看他如何修养他的志气，观察他的习惯，以了解他的能力。志向不修养，则思想和气息就不会稳固；思想和气息不稳固，则思虑就不通达；思虑不通达，则意志就不坚实；意志不坚实，则应对就不勇敢；应对不勇敢，则志向就会丧失且思想和气息就会空虚；志向丧失且思想和气息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开始修养志向时，务必要先安定自己，自己安定则意志坚实；意志坚实则自身的威势不会分散。神明常固守于心，然后能够分散别人的威势。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8" w:name="__RefHeading___Toc2340_1773610119"/>
      <w:bookmarkStart w:id="149" w:name="_Toc2022631712"/>
      <w:bookmarkStart w:id="150" w:name="_Toc30321398"/>
      <w:bookmarkStart w:id="151" w:name="_Toc22646"/>
      <w:bookmarkStart w:id="152" w:name="_Toc47593244"/>
      <w:bookmarkStart w:id="153" w:name="_Toc153345599"/>
      <w:bookmarkStart w:id="154" w:name="_Toc30321444"/>
      <w:bookmarkStart w:id="155" w:name="_Toc534766007"/>
      <w:bookmarkEnd w:id="148"/>
      <w:r>
        <w:rPr>
          <w:rFonts w:ascii="华文宋体" w:hAnsi="华文宋体" w:eastAsia="华文宋体"/>
          <w:b w:val="false"/>
          <w:bCs w:val="false"/>
          <w:color w:val="000000"/>
        </w:rPr>
        <w:t>实意法螣蛇</w:t>
      </w:r>
      <w:bookmarkEnd w:id="149"/>
      <w:bookmarkEnd w:id="150"/>
      <w:bookmarkEnd w:id="151"/>
      <w:bookmarkEnd w:id="152"/>
      <w:bookmarkEnd w:id="153"/>
      <w:bookmarkEnd w:id="154"/>
      <w:bookmarkEnd w:id="155"/>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息的思虑；思想要安详平静，思虑要深远。思想安详平静则神明丰富，思虑深远则计谋成功；想要神明丰富则志向不可以紊乱，想要计谋成功则即使公开也不可以乘隙。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b w:val="false"/>
          <w:bCs w:val="false"/>
        </w:rPr>
        <w:t>气</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知识（辨识事物的能力）的气息依附（于身），奸邪之徒就会得以乘虚而入，巧诈阴谋就会得以迷惑我们，所说的话也不经过思想了。所以伸展思想的方法，是坚守“真”、“一”而不改变，等待与他人意愿和思虑的交往，对听到的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val="false"/>
          <w:bCs w:val="false"/>
        </w:rPr>
        <w:t>神</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时不能做到详细观察。探察的没有收获，计谋就失败了，则意愿无处伸展，（思想）空虚而不充实。所以计谋的思虑，务必在于充实意愿，充实意愿则必须从思想的方法开始。无为并追求安详平静，五脏调和通畅六腑，精神、魂魄各安其所而不动，然后能够向内观察、反问倾听、坚定志向。思虑到广大而虚空的境界，等待精神的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神</w:t>
      </w:r>
      <w:r>
        <w:rPr>
          <w:rFonts w:ascii="华文宋体" w:hAnsi="华文宋体" w:eastAsia="华文宋体"/>
          <w:b/>
          <w:bCs/>
        </w:rPr>
        <w:t>宿</w:t>
      </w:r>
      <w:r>
        <w:rPr>
          <w:rFonts w:ascii="华文宋体" w:hAnsi="华文宋体" w:cs="Lucida Sans" w:eastAsia="华文宋体"/>
          <w:color w:val="7F7F7F"/>
          <w:kern w:val="2"/>
          <w:sz w:val="15"/>
          <w:szCs w:val="13"/>
          <w:lang w:val="en-US" w:eastAsia="zh-CN" w:bidi="hi-IN"/>
        </w:rPr>
        <w:t>（停留）</w:t>
      </w:r>
      <w:r>
        <w:rPr>
          <w:rFonts w:ascii="华文宋体" w:hAnsi="华文宋体" w:eastAsia="华文宋体"/>
        </w:rPr>
        <w:t>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通达神明，应对于没有方向时，能够让精神停留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6" w:name="__RefHeading___Toc2342_1773610119"/>
      <w:bookmarkStart w:id="157" w:name="_Toc47593245"/>
      <w:bookmarkStart w:id="158" w:name="_Toc1490294709"/>
      <w:bookmarkStart w:id="159" w:name="_Toc12026"/>
      <w:bookmarkStart w:id="160" w:name="_Toc30321445"/>
      <w:bookmarkStart w:id="161" w:name="_Toc30321399"/>
      <w:bookmarkStart w:id="162" w:name="_Toc153345600"/>
      <w:bookmarkStart w:id="163" w:name="_Toc1710013847"/>
      <w:bookmarkEnd w:id="156"/>
      <w:r>
        <w:rPr>
          <w:rFonts w:ascii="华文宋体" w:hAnsi="华文宋体" w:eastAsia="华文宋体"/>
          <w:b w:val="false"/>
          <w:bCs w:val="false"/>
          <w:color w:val="000000"/>
        </w:rPr>
        <w:t>分威法伏熊</w:t>
      </w:r>
      <w:bookmarkEnd w:id="157"/>
      <w:bookmarkEnd w:id="158"/>
      <w:bookmarkEnd w:id="159"/>
      <w:bookmarkEnd w:id="160"/>
      <w:bookmarkEnd w:id="161"/>
      <w:bookmarkEnd w:id="162"/>
      <w:bookmarkEnd w:id="163"/>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平静意愿、稳固志向，精神归集后将其释放，则威力覆盖得强盛。威力覆盖得强盛，则内心坚实；内心坚实，则没有谁能够阻挡；没有谁能够阻挡，则能够通过分发给他人的威力来动摇其势头，如这天覆万物那样（以绝对优势压倒对方）。以己方之实去攻取他人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w:t>
      </w:r>
      <w:r>
        <w:rPr>
          <w:rFonts w:ascii="华文宋体" w:hAnsi="华文宋体" w:eastAsia="华文宋体"/>
          <w:b/>
          <w:bCs/>
        </w:rPr>
        <w:t>唱</w:t>
      </w:r>
      <w:r>
        <w:rPr>
          <w:rFonts w:ascii="华文宋体" w:hAnsi="华文宋体" w:cs="Lucida Sans" w:eastAsia="华文宋体"/>
          <w:color w:val="7F7F7F"/>
          <w:kern w:val="2"/>
          <w:sz w:val="15"/>
          <w:szCs w:val="13"/>
          <w:lang w:val="en-US" w:eastAsia="zh-CN" w:bidi="hi-IN"/>
        </w:rPr>
        <w:t>（倡导；发起。后作“倡”）</w:t>
      </w:r>
      <w:r>
        <w:rPr>
          <w:rFonts w:ascii="华文宋体" w:hAnsi="华文宋体" w:eastAsia="华文宋体"/>
        </w:rPr>
        <w:t>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那（我们）行动（对方）必定追随，倡导（对方）必定应和。弯曲一个手指，再观察剩下的；任何行动和改变都会显现形态，没有能隐而不现的。对倡导和应和详细观察，通过隐而不现的蛛丝马迹去寻找对方的空隙；待（对方）行动变得明晰之后，则我方的威力就可以分发出去。将有行动和改变时，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知道稳固和充实自己的，能自我修养；谦让己身的，能修养他人。那做到精神长存且进击之势毫不显现，然后成为了形势。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4" w:name="__RefHeading___Toc2344_1773610119"/>
      <w:bookmarkStart w:id="165" w:name="_Toc30321446"/>
      <w:bookmarkStart w:id="166" w:name="_Toc47593246"/>
      <w:bookmarkStart w:id="167" w:name="_Toc30321400"/>
      <w:bookmarkStart w:id="168" w:name="_Toc153345601"/>
      <w:bookmarkStart w:id="169" w:name="_Toc1172803545"/>
      <w:bookmarkStart w:id="170" w:name="_Toc5302"/>
      <w:bookmarkStart w:id="171" w:name="_Toc1470570454"/>
      <w:bookmarkEnd w:id="164"/>
      <w:r>
        <w:rPr>
          <w:rFonts w:ascii="华文宋体" w:hAnsi="华文宋体" w:eastAsia="华文宋体"/>
          <w:b w:val="false"/>
          <w:bCs w:val="false"/>
          <w:color w:val="000000"/>
        </w:rPr>
        <w:t>散势法鸷鸟</w:t>
      </w:r>
      <w:bookmarkEnd w:id="165"/>
      <w:bookmarkEnd w:id="166"/>
      <w:bookmarkEnd w:id="167"/>
      <w:bookmarkEnd w:id="168"/>
      <w:bookmarkEnd w:id="169"/>
      <w:bookmarkEnd w:id="170"/>
      <w:bookmarkEnd w:id="171"/>
    </w:p>
    <w:p>
      <w:pPr>
        <w:pStyle w:val="Normal"/>
        <w:ind w:firstLine="420"/>
        <w:rPr>
          <w:rFonts w:ascii="华文宋体" w:hAnsi="华文宋体" w:eastAsia="华文宋体"/>
        </w:rPr>
      </w:pPr>
      <w:r>
        <w:rPr>
          <w:rFonts w:ascii="华文宋体" w:hAnsi="华文宋体" w:eastAsia="华文宋体"/>
        </w:rPr>
        <w:t>散</w:t>
      </w:r>
      <w:r>
        <w:rPr>
          <w:rFonts w:ascii="华文宋体" w:hAnsi="华文宋体" w:eastAsia="华文宋体"/>
          <w:b/>
          <w:bCs/>
        </w:rPr>
        <w:t>势</w:t>
      </w:r>
      <w:r>
        <w:rPr>
          <w:rFonts w:ascii="华文宋体" w:hAnsi="华文宋体" w:cs="Lucida Sans" w:eastAsia="华文宋体"/>
          <w:color w:val="7F7F7F"/>
          <w:kern w:val="2"/>
          <w:sz w:val="15"/>
          <w:szCs w:val="13"/>
          <w:lang w:val="en-US" w:eastAsia="zh-CN" w:bidi="hi-IN"/>
        </w:rPr>
        <w:t>（势头，事物力量表现出的来的走向）</w:t>
      </w:r>
      <w:r>
        <w:rPr>
          <w:rFonts w:ascii="华文宋体" w:hAnsi="华文宋体" w:eastAsia="华文宋体"/>
        </w:rPr>
        <w:t>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散除势头，是精神的使唤。运用它，必定循着（对方）空隙而行动。威力快速在内达到旺盛后，顺着对方的空隙施行，则（对方）势头被散除。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这被散除势头者，思想空虚且志向外溢、意愿衰弱且威力丧失、精力和精神不专一，其外在的言语就会多变。那要观察对方的意志再为之推测出方法，然后能够揣度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头。散除势头，要等待（对方）空隙而后行动，（一旦）行动就能让对方的势头分散了。那善于思考对方空隙者，必定在内精通五气（的运用），在外要观察对方的虚实，行动但不会失去分散（对方）势头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w:t>
      </w:r>
      <w:r>
        <w:rPr>
          <w:rFonts w:ascii="华文宋体" w:hAnsi="华文宋体" w:eastAsia="华文宋体"/>
          <w:b/>
          <w:bCs/>
          <w:color w:val="000000"/>
        </w:rPr>
        <w:t>权变</w:t>
      </w:r>
      <w:r>
        <w:rPr>
          <w:rFonts w:ascii="华文宋体" w:hAnsi="华文宋体" w:cs="Lucida Sans" w:eastAsia="华文宋体"/>
          <w:color w:val="7F7F7F"/>
          <w:kern w:val="2"/>
          <w:sz w:val="15"/>
          <w:szCs w:val="13"/>
          <w:lang w:val="en-US" w:eastAsia="zh-CN" w:bidi="hi-IN"/>
        </w:rPr>
        <w:t>（根据实际情况灵活应变）</w:t>
      </w:r>
      <w:r>
        <w:rPr>
          <w:rFonts w:ascii="华文宋体" w:hAnsi="华文宋体" w:eastAsia="华文宋体"/>
          <w:color w:val="000000"/>
        </w:rPr>
        <w:t>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势头，是利和害的决策，是权变的威力。势头落败的，是因为不能快速凝神观察！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2" w:name="__RefHeading___Toc2346_1773610119"/>
      <w:bookmarkStart w:id="173" w:name="_Toc30321401"/>
      <w:bookmarkStart w:id="174" w:name="_Toc1880000984"/>
      <w:bookmarkStart w:id="175" w:name="_Toc47593247"/>
      <w:bookmarkStart w:id="176" w:name="_Toc153345602"/>
      <w:bookmarkStart w:id="177" w:name="_Toc8986"/>
      <w:bookmarkStart w:id="178" w:name="_Toc30321447"/>
      <w:bookmarkStart w:id="179" w:name="_Toc1210226060"/>
      <w:bookmarkEnd w:id="172"/>
      <w:r>
        <w:rPr>
          <w:rFonts w:ascii="华文宋体" w:hAnsi="华文宋体" w:eastAsia="华文宋体"/>
          <w:b w:val="false"/>
          <w:bCs w:val="false"/>
          <w:color w:val="000000"/>
        </w:rPr>
        <w:t>转圆法猛兽</w:t>
      </w:r>
      <w:bookmarkEnd w:id="173"/>
      <w:bookmarkEnd w:id="174"/>
      <w:bookmarkEnd w:id="175"/>
      <w:bookmarkEnd w:id="176"/>
      <w:bookmarkEnd w:id="177"/>
      <w:bookmarkEnd w:id="178"/>
      <w:bookmarkEnd w:id="179"/>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转为圆通，（将产生）无穷无尽的计策。无穷无尽（地产生），必须具有圣智之人的思想，以推究出不可估量的智慧，因而通达思想的方法，并且精神引导混沌为“一”。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视角讨论万物，说话的意思就会无穷。智慧、战略、计策、谋划，具有各自的形态容貌，有的圆通，有的方正；有的运用阴，有的运用阳；有的给人带来吉祥，有的给人带来不祥，（因为）事情的类别不同。那圣智之人怀着这个思路进行运用，转为圆通并且谋求与事情相符合。那随着制造和转化事情的人为开端，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天地无边无际，人世间的事无穷无尽，各自分成这（不同的）类别；显现其计策和谋划后，必能知道其最终的吉凶成败。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rPr>
        <w:t>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规律”预先知道存亡，然后知道转为圆通才能采取方正。圆通，是为了话语投机；方正，是为了措置事情。运转变化，是为了观察对方的计谋；接触外物，是为了观察对方进退的意愿。彼此都看见了会合点，然后抓住要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80" w:name="__RefHeading___Toc2348_1773610119"/>
      <w:bookmarkStart w:id="181" w:name="_Toc30321448"/>
      <w:bookmarkStart w:id="182" w:name="_Toc958547277"/>
      <w:bookmarkStart w:id="183" w:name="_Toc1750"/>
      <w:bookmarkStart w:id="184" w:name="_Toc47593248"/>
      <w:bookmarkStart w:id="185" w:name="_Toc30321402"/>
      <w:bookmarkStart w:id="186" w:name="_Toc153345603"/>
      <w:bookmarkStart w:id="187" w:name="_Toc964853272"/>
      <w:bookmarkEnd w:id="180"/>
      <w:r>
        <w:rPr>
          <w:rFonts w:ascii="华文宋体" w:hAnsi="华文宋体" w:eastAsia="华文宋体"/>
          <w:b w:val="false"/>
          <w:bCs w:val="false"/>
          <w:color w:val="000000"/>
        </w:rPr>
        <w:t>损兑法灵蓍</w:t>
      </w:r>
      <w:bookmarkEnd w:id="181"/>
      <w:bookmarkEnd w:id="182"/>
      <w:bookmarkEnd w:id="183"/>
      <w:bookmarkEnd w:id="184"/>
      <w:bookmarkEnd w:id="185"/>
      <w:bookmarkEnd w:id="186"/>
      <w:bookmarkEnd w:id="187"/>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（兑，更换。“兑”强调随机应变，要求像“泽之决水”般顺势而为，一旦发现时机，立即调整策略）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所以圣智之人用无为的方式等待有所收获，询问过程中考察言辞与事情是否相符合。随机应变，是为了解情况；排除干扰，是为了方便行事。或排除干扰，或随机应变。抉择时发现有不可行的，圣智之人不为之言语。所以有智慧的人不会光顾着自己说话而忽略他人的言辞，因而能够做到言辞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如果能够使其圆通不能施行，使其方正不通禁止，是为“大功”。（对要说的话）或进行增益，或进行减损，都是为了言辞能够恰到好处地表述出来。用“分发威力”、“散除势力”的权变，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故善损兑者，譬若决水于千仞之堤、转圆石于万仞之谿。而能行此者，形势不得不然也！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所以善于排除干扰和随机应变的人，（应对事情）好像挖开千丈高的堤水、从万丈的谿谷向下滚动圆石。而能够做到这个的，是其所造就的形势使人不得不如此啊！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user">
    <w:name w:val="编号符号 (user)"/>
    <w:qFormat/>
    <w:rPr/>
  </w:style>
  <w:style w:type="character" w:styleId="1">
    <w:name w:val="行号1"/>
    <w:qFormat/>
    <w:rPr/>
  </w:style>
  <w:style w:type="character" w:styleId="user1">
    <w:name w:val="索引链接 (user)"/>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Style11">
    <w:name w:val="索引链接"/>
    <w:qFormat/>
    <w:rPr/>
  </w:style>
  <w:style w:type="paragraph" w:styleId="Style12">
    <w:name w:val="标题样式"/>
    <w:basedOn w:val="Normal"/>
    <w:next w:val="BodyText"/>
    <w:qFormat/>
    <w:pPr>
      <w:keepNext w:val="true"/>
      <w:spacing w:before="240" w:after="120"/>
    </w:pPr>
    <w:rPr>
      <w:rFonts w:ascii="Liberation Sans" w:hAnsi="Liberation Sans" w:eastAsia="Noto Sans CJK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3">
    <w:name w:val="索引"/>
    <w:basedOn w:val="Normal"/>
    <w:qFormat/>
    <w:pPr>
      <w:suppressLineNumbers/>
    </w:pPr>
    <w:rPr>
      <w:rFonts w:cs="Lucida Sans"/>
    </w:rPr>
  </w:style>
  <w:style w:type="paragraph" w:styleId="user2">
    <w:name w:val="标题样式 (user)"/>
    <w:basedOn w:val="Normal"/>
    <w:next w:val="BodyText"/>
    <w:qFormat/>
    <w:pPr>
      <w:keepNext w:val="true"/>
      <w:spacing w:before="240" w:after="120"/>
    </w:pPr>
    <w:rPr>
      <w:rFonts w:ascii="Liberation Sans" w:hAnsi="Liberation Sans" w:eastAsia="Noto Sans SC" w:cs="Lucida Sans"/>
      <w:sz w:val="28"/>
      <w:szCs w:val="28"/>
    </w:rPr>
  </w:style>
  <w:style w:type="paragraph" w:styleId="user3">
    <w:name w:val="索引 (user)"/>
    <w:basedOn w:val="Normal"/>
    <w:qFormat/>
    <w:pPr>
      <w:suppressLineNumbers/>
    </w:pPr>
    <w:rPr>
      <w:rFonts w:cs="Lucida Sans"/>
    </w:rPr>
  </w:style>
  <w:style w:type="paragraph" w:styleId="user4">
    <w:name w:val="页眉与页脚 (user)"/>
    <w:basedOn w:val="Normal"/>
    <w:qFormat/>
    <w:pPr/>
    <w:rPr/>
  </w:style>
  <w:style w:type="paragraph" w:styleId="Style14">
    <w:name w:val="页眉与页脚"/>
    <w:basedOn w:val="Normal"/>
    <w:qFormat/>
    <w:pPr/>
    <w:rPr/>
  </w:style>
  <w:style w:type="paragraph" w:styleId="Footer">
    <w:name w:val="footer"/>
    <w:basedOn w:val="user4"/>
    <w:pPr/>
    <w:rPr/>
  </w:style>
  <w:style w:type="paragraph" w:styleId="TOC1">
    <w:name w:val="toc 1"/>
    <w:basedOn w:val="user3"/>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tru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user4"/>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tru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tru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tru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tru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tru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tru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tru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tru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user2"/>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user4"/>
    <w:qFormat/>
    <w:pPr/>
    <w:rPr/>
  </w:style>
  <w:style w:type="paragraph" w:styleId="4">
    <w:name w:val="修订4"/>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user4"/>
    <w:qFormat/>
    <w:pPr/>
    <w:rPr/>
  </w:style>
  <w:style w:type="paragraph" w:styleId="indexheading1">
    <w:name w:val="index heading1"/>
    <w:basedOn w:val="user2"/>
    <w:qFormat/>
    <w:pPr>
      <w:keepNext w:val="true"/>
      <w:widowControl/>
      <w:suppressLineNumbers/>
      <w:suppressAutoHyphens w:val="true"/>
    </w:pPr>
    <w:rPr>
      <w:b/>
      <w:bCs/>
      <w:sz w:val="32"/>
      <w:szCs w:val="32"/>
    </w:rPr>
  </w:style>
  <w:style w:type="paragraph" w:styleId="24">
    <w:name w:val="索引标题2"/>
    <w:basedOn w:val="user2"/>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1102</TotalTime>
  <Application>LibreOffice/26.2.1.2$Windows_X86_64 LibreOffice_project/620$Build-2</Application>
  <AppVersion>15.0000</AppVersion>
  <Pages>36</Pages>
  <Words>36530</Words>
  <Characters>36630</Characters>
  <CharactersWithSpaces>36689</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2026-07-30T21:08:04Z</dcterms:modified>
  <cp:revision>677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