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1"/>
            </w:rPr>
            <w:instrText xml:space="preserve"> TOC \o "1-3" \h</w:instrText>
          </w:r>
          <w:r>
            <w:rPr>
              <w:rStyle w:val="Style11"/>
            </w:rPr>
            <w:fldChar w:fldCharType="separate"/>
          </w:r>
          <w:hyperlink w:anchor="__RefHeading___Toc2308_1773610119" w:tooltip="捭阖">
            <w:r>
              <w:rPr>
                <w:rStyle w:val="Style11"/>
              </w:rPr>
              <w:t>捭阖</w:t>
            </w:r>
            <w:r>
              <w:rPr>
                <w:rStyle w:val="Style11"/>
              </w:rPr>
              <w:tab/>
              <w:t>3</w:t>
            </w:r>
          </w:hyperlink>
        </w:p>
        <w:p>
          <w:pPr>
            <w:pStyle w:val="TOC1"/>
            <w:tabs>
              <w:tab w:val="clear" w:pos="9740"/>
              <w:tab w:val="right" w:pos="9739" w:leader="dot"/>
            </w:tabs>
            <w:rPr/>
          </w:pPr>
          <w:hyperlink w:anchor="__RefHeading___Toc2310_1773610119" w:tooltip="反应">
            <w:r>
              <w:rPr>
                <w:rStyle w:val="Style11"/>
              </w:rPr>
              <w:t>反应</w:t>
            </w:r>
            <w:r>
              <w:rPr>
                <w:rStyle w:val="Style11"/>
              </w:rPr>
              <w:tab/>
              <w:t>5</w:t>
            </w:r>
          </w:hyperlink>
        </w:p>
        <w:p>
          <w:pPr>
            <w:pStyle w:val="TOC1"/>
            <w:tabs>
              <w:tab w:val="clear" w:pos="9740"/>
              <w:tab w:val="right" w:pos="9739" w:leader="dot"/>
            </w:tabs>
            <w:rPr/>
          </w:pPr>
          <w:hyperlink w:anchor="__RefHeading___Toc2312_1773610119" w:tooltip="内楗">
            <w:r>
              <w:rPr>
                <w:rStyle w:val="Style11"/>
              </w:rPr>
              <w:t>内楗</w:t>
            </w:r>
            <w:r>
              <w:rPr>
                <w:rStyle w:val="Style11"/>
              </w:rPr>
              <w:tab/>
              <w:t>7</w:t>
            </w:r>
          </w:hyperlink>
        </w:p>
        <w:p>
          <w:pPr>
            <w:pStyle w:val="TOC1"/>
            <w:tabs>
              <w:tab w:val="clear" w:pos="9740"/>
              <w:tab w:val="right" w:pos="9739" w:leader="dot"/>
            </w:tabs>
            <w:rPr/>
          </w:pPr>
          <w:hyperlink w:anchor="__RefHeading___Toc2314_1773610119" w:tooltip="抵巇">
            <w:r>
              <w:rPr>
                <w:rStyle w:val="Style11"/>
              </w:rPr>
              <w:t>抵巇</w:t>
            </w:r>
            <w:r>
              <w:rPr>
                <w:rStyle w:val="Style11"/>
              </w:rPr>
              <w:tab/>
              <w:t>9</w:t>
            </w:r>
          </w:hyperlink>
        </w:p>
        <w:p>
          <w:pPr>
            <w:pStyle w:val="TOC1"/>
            <w:tabs>
              <w:tab w:val="clear" w:pos="9740"/>
              <w:tab w:val="right" w:pos="9739" w:leader="dot"/>
            </w:tabs>
            <w:rPr/>
          </w:pPr>
          <w:hyperlink w:anchor="__RefHeading___Toc2316_1773610119" w:tooltip="飞箝">
            <w:r>
              <w:rPr>
                <w:rStyle w:val="Style11"/>
              </w:rPr>
              <w:t>飞箝</w:t>
            </w:r>
            <w:r>
              <w:rPr>
                <w:rStyle w:val="Style11"/>
              </w:rPr>
              <w:tab/>
              <w:t>11</w:t>
            </w:r>
          </w:hyperlink>
        </w:p>
        <w:p>
          <w:pPr>
            <w:pStyle w:val="TOC1"/>
            <w:tabs>
              <w:tab w:val="clear" w:pos="9740"/>
              <w:tab w:val="right" w:pos="9739" w:leader="dot"/>
            </w:tabs>
            <w:rPr/>
          </w:pPr>
          <w:hyperlink w:anchor="__RefHeading___Toc2318_1773610119" w:tooltip="忤合">
            <w:r>
              <w:rPr>
                <w:rStyle w:val="Style11"/>
              </w:rPr>
              <w:t>忤合</w:t>
            </w:r>
            <w:r>
              <w:rPr>
                <w:rStyle w:val="Style11"/>
              </w:rPr>
              <w:tab/>
              <w:t>12</w:t>
            </w:r>
          </w:hyperlink>
        </w:p>
        <w:p>
          <w:pPr>
            <w:pStyle w:val="TOC1"/>
            <w:tabs>
              <w:tab w:val="clear" w:pos="9740"/>
              <w:tab w:val="right" w:pos="9739" w:leader="dot"/>
            </w:tabs>
            <w:rPr/>
          </w:pPr>
          <w:hyperlink w:anchor="__RefHeading___Toc2320_1773610119" w:tooltip="揣篇">
            <w:r>
              <w:rPr>
                <w:rStyle w:val="Style11"/>
              </w:rPr>
              <w:t>揣篇</w:t>
            </w:r>
            <w:r>
              <w:rPr>
                <w:rStyle w:val="Style11"/>
              </w:rPr>
              <w:tab/>
              <w:t>13</w:t>
            </w:r>
          </w:hyperlink>
        </w:p>
        <w:p>
          <w:pPr>
            <w:pStyle w:val="TOC1"/>
            <w:tabs>
              <w:tab w:val="clear" w:pos="9740"/>
              <w:tab w:val="right" w:pos="9739" w:leader="dot"/>
            </w:tabs>
            <w:rPr/>
          </w:pPr>
          <w:hyperlink w:anchor="__RefHeading___Toc2322_1773610119" w:tooltip="摩篇">
            <w:r>
              <w:rPr>
                <w:rStyle w:val="Style11"/>
              </w:rPr>
              <w:t>摩篇</w:t>
            </w:r>
            <w:r>
              <w:rPr>
                <w:rStyle w:val="Style11"/>
              </w:rPr>
              <w:tab/>
              <w:t>15</w:t>
            </w:r>
          </w:hyperlink>
        </w:p>
        <w:p>
          <w:pPr>
            <w:pStyle w:val="TOC1"/>
            <w:tabs>
              <w:tab w:val="clear" w:pos="9740"/>
              <w:tab w:val="right" w:pos="9739" w:leader="dot"/>
            </w:tabs>
            <w:rPr/>
          </w:pPr>
          <w:hyperlink w:anchor="__RefHeading___Toc2324_1773610119" w:tooltip="权篇">
            <w:r>
              <w:rPr>
                <w:rStyle w:val="Style11"/>
              </w:rPr>
              <w:t>权篇</w:t>
            </w:r>
            <w:r>
              <w:rPr>
                <w:rStyle w:val="Style11"/>
              </w:rPr>
              <w:tab/>
              <w:t>17</w:t>
            </w:r>
          </w:hyperlink>
        </w:p>
        <w:p>
          <w:pPr>
            <w:pStyle w:val="TOC1"/>
            <w:tabs>
              <w:tab w:val="clear" w:pos="9740"/>
              <w:tab w:val="right" w:pos="9739" w:leader="dot"/>
            </w:tabs>
            <w:rPr/>
          </w:pPr>
          <w:hyperlink w:anchor="__RefHeading___Toc2326_1773610119" w:tooltip="谋篇">
            <w:r>
              <w:rPr>
                <w:rStyle w:val="Style11"/>
              </w:rPr>
              <w:t>谋篇</w:t>
            </w:r>
            <w:r>
              <w:rPr>
                <w:rStyle w:val="Style11"/>
              </w:rPr>
              <w:tab/>
              <w:t>19</w:t>
            </w:r>
          </w:hyperlink>
        </w:p>
        <w:p>
          <w:pPr>
            <w:pStyle w:val="TOC1"/>
            <w:tabs>
              <w:tab w:val="clear" w:pos="9740"/>
              <w:tab w:val="right" w:pos="9739" w:leader="dot"/>
            </w:tabs>
            <w:rPr/>
          </w:pPr>
          <w:hyperlink w:anchor="__RefHeading___Toc2328_1773610119" w:tooltip="决篇">
            <w:r>
              <w:rPr>
                <w:rStyle w:val="Style11"/>
              </w:rPr>
              <w:t>决篇</w:t>
            </w:r>
            <w:r>
              <w:rPr>
                <w:rStyle w:val="Style11"/>
              </w:rPr>
              <w:tab/>
              <w:t>21</w:t>
            </w:r>
          </w:hyperlink>
        </w:p>
        <w:p>
          <w:pPr>
            <w:pStyle w:val="TOC1"/>
            <w:tabs>
              <w:tab w:val="clear" w:pos="9740"/>
              <w:tab w:val="right" w:pos="9739" w:leader="dot"/>
            </w:tabs>
            <w:rPr/>
          </w:pPr>
          <w:hyperlink w:anchor="__RefHeading___Toc2330_1773610119" w:tooltip="符言">
            <w:r>
              <w:rPr>
                <w:rStyle w:val="Style11"/>
              </w:rPr>
              <w:t>符言</w:t>
            </w:r>
            <w:r>
              <w:rPr>
                <w:rStyle w:val="Style11"/>
              </w:rPr>
              <w:tab/>
              <w:t>22</w:t>
            </w:r>
          </w:hyperlink>
        </w:p>
        <w:p>
          <w:pPr>
            <w:pStyle w:val="TOC1"/>
            <w:tabs>
              <w:tab w:val="clear" w:pos="9740"/>
              <w:tab w:val="right" w:pos="9739" w:leader="dot"/>
            </w:tabs>
            <w:rPr/>
          </w:pPr>
          <w:hyperlink w:anchor="__RefHeading___Toc2332_1773610119" w:tooltip="转丸">
            <w:r>
              <w:rPr>
                <w:rStyle w:val="Style11"/>
              </w:rPr>
              <w:t>转丸</w:t>
            </w:r>
            <w:r>
              <w:rPr>
                <w:rStyle w:val="Style11"/>
              </w:rPr>
              <w:tab/>
              <w:t>24</w:t>
            </w:r>
          </w:hyperlink>
        </w:p>
        <w:p>
          <w:pPr>
            <w:pStyle w:val="TOC1"/>
            <w:tabs>
              <w:tab w:val="clear" w:pos="9740"/>
              <w:tab w:val="right" w:pos="9739" w:leader="dot"/>
            </w:tabs>
            <w:rPr/>
          </w:pPr>
          <w:hyperlink w:anchor="__RefHeading___Toc2334_1773610119" w:tooltip="却乱">
            <w:r>
              <w:rPr>
                <w:rStyle w:val="Style11"/>
              </w:rPr>
              <w:t>却乱</w:t>
            </w:r>
            <w:r>
              <w:rPr>
                <w:rStyle w:val="Style11"/>
              </w:rPr>
              <w:tab/>
              <w:t>25</w:t>
            </w:r>
          </w:hyperlink>
        </w:p>
        <w:p>
          <w:pPr>
            <w:pStyle w:val="TOC1"/>
            <w:tabs>
              <w:tab w:val="clear" w:pos="9740"/>
              <w:tab w:val="right" w:pos="9739" w:leader="dot"/>
            </w:tabs>
            <w:rPr/>
          </w:pPr>
          <w:hyperlink w:anchor="__RefHeading___Toc1620_2803666824_%25E5%" w:tooltip="持枢">
            <w:r>
              <w:rPr>
                <w:rStyle w:val="Style11"/>
              </w:rPr>
              <w:t>持枢</w:t>
            </w:r>
            <w:r>
              <w:rPr>
                <w:rStyle w:val="Style11"/>
              </w:rPr>
              <w:tab/>
              <w:t>26</w:t>
            </w:r>
          </w:hyperlink>
        </w:p>
        <w:p>
          <w:pPr>
            <w:pStyle w:val="TOC1"/>
            <w:tabs>
              <w:tab w:val="clear" w:pos="9740"/>
              <w:tab w:val="right" w:pos="9739" w:leader="dot"/>
            </w:tabs>
            <w:rPr/>
          </w:pPr>
          <w:hyperlink w:anchor="__RefHeading___Toc1622_2803666824_%25E5%" w:tooltip="中经">
            <w:r>
              <w:rPr>
                <w:rStyle w:val="Style11"/>
              </w:rPr>
              <w:t>中经</w:t>
            </w:r>
            <w:r>
              <w:rPr>
                <w:rStyle w:val="Style11"/>
              </w:rPr>
              <w:tab/>
              <w:t>27</w:t>
            </w:r>
          </w:hyperlink>
        </w:p>
        <w:p>
          <w:pPr>
            <w:pStyle w:val="TOC1"/>
            <w:tabs>
              <w:tab w:val="clear" w:pos="9740"/>
              <w:tab w:val="right" w:pos="9739" w:leader="dot"/>
            </w:tabs>
            <w:rPr/>
          </w:pPr>
          <w:hyperlink w:anchor="__RefHeading___Toc2336_1773610119" w:tooltip="盛神法五龙">
            <w:r>
              <w:rPr>
                <w:rStyle w:val="Style11"/>
              </w:rPr>
              <w:t>盛神法五龙</w:t>
            </w:r>
            <w:r>
              <w:rPr>
                <w:rStyle w:val="Style11"/>
              </w:rPr>
              <w:tab/>
              <w:t>29</w:t>
            </w:r>
          </w:hyperlink>
        </w:p>
        <w:p>
          <w:pPr>
            <w:pStyle w:val="TOC1"/>
            <w:tabs>
              <w:tab w:val="clear" w:pos="9740"/>
              <w:tab w:val="right" w:pos="9739" w:leader="dot"/>
            </w:tabs>
            <w:rPr/>
          </w:pPr>
          <w:hyperlink w:anchor="__RefHeading___Toc2338_1773610119" w:tooltip="养志法灵龟">
            <w:r>
              <w:rPr>
                <w:rStyle w:val="Style11"/>
              </w:rPr>
              <w:t>养志法灵龟</w:t>
            </w:r>
            <w:r>
              <w:rPr>
                <w:rStyle w:val="Style11"/>
              </w:rPr>
              <w:tab/>
              <w:t>31</w:t>
            </w:r>
          </w:hyperlink>
        </w:p>
        <w:p>
          <w:pPr>
            <w:pStyle w:val="TOC1"/>
            <w:tabs>
              <w:tab w:val="clear" w:pos="9740"/>
              <w:tab w:val="right" w:pos="9739" w:leader="dot"/>
            </w:tabs>
            <w:rPr/>
          </w:pPr>
          <w:hyperlink w:anchor="__RefHeading___Toc2340_1773610119" w:tooltip="实意法螣蛇">
            <w:r>
              <w:rPr>
                <w:rStyle w:val="Style11"/>
              </w:rPr>
              <w:t>实意法螣蛇</w:t>
            </w:r>
            <w:r>
              <w:rPr>
                <w:rStyle w:val="Style11"/>
              </w:rPr>
              <w:tab/>
              <w:t>32</w:t>
            </w:r>
          </w:hyperlink>
        </w:p>
        <w:p>
          <w:pPr>
            <w:pStyle w:val="TOC1"/>
            <w:tabs>
              <w:tab w:val="clear" w:pos="9740"/>
              <w:tab w:val="right" w:pos="9739" w:leader="dot"/>
            </w:tabs>
            <w:rPr/>
          </w:pPr>
          <w:hyperlink w:anchor="__RefHeading___Toc2342_1773610119" w:tooltip="分威法伏熊">
            <w:r>
              <w:rPr>
                <w:rStyle w:val="Style11"/>
              </w:rPr>
              <w:t>分威法伏熊</w:t>
            </w:r>
            <w:r>
              <w:rPr>
                <w:rStyle w:val="Style11"/>
              </w:rPr>
              <w:tab/>
              <w:t>33</w:t>
            </w:r>
          </w:hyperlink>
        </w:p>
        <w:p>
          <w:pPr>
            <w:pStyle w:val="TOC1"/>
            <w:tabs>
              <w:tab w:val="clear" w:pos="9740"/>
              <w:tab w:val="right" w:pos="9739" w:leader="dot"/>
            </w:tabs>
            <w:rPr/>
          </w:pPr>
          <w:hyperlink w:anchor="__RefHeading___Toc2344_1773610119" w:tooltip="散势法鸷鸟">
            <w:r>
              <w:rPr>
                <w:rStyle w:val="Style11"/>
              </w:rPr>
              <w:t>散势法鸷鸟</w:t>
            </w:r>
            <w:r>
              <w:rPr>
                <w:rStyle w:val="Style11"/>
              </w:rPr>
              <w:tab/>
              <w:t>33</w:t>
            </w:r>
          </w:hyperlink>
        </w:p>
        <w:p>
          <w:pPr>
            <w:pStyle w:val="TOC1"/>
            <w:tabs>
              <w:tab w:val="clear" w:pos="9740"/>
              <w:tab w:val="right" w:pos="9739" w:leader="dot"/>
            </w:tabs>
            <w:rPr/>
          </w:pPr>
          <w:hyperlink w:anchor="__RefHeading___Toc2346_1773610119" w:tooltip="转圆法猛兽">
            <w:r>
              <w:rPr>
                <w:rStyle w:val="Style11"/>
              </w:rPr>
              <w:t>转圆法猛兽</w:t>
            </w:r>
            <w:r>
              <w:rPr>
                <w:rStyle w:val="Style11"/>
              </w:rPr>
              <w:tab/>
              <w:t>34</w:t>
            </w:r>
          </w:hyperlink>
        </w:p>
        <w:p>
          <w:pPr>
            <w:pStyle w:val="TOC1"/>
            <w:tabs>
              <w:tab w:val="clear" w:pos="9740"/>
              <w:tab w:val="right" w:pos="9739" w:leader="dot"/>
            </w:tabs>
            <w:rPr/>
          </w:pPr>
          <w:hyperlink w:anchor="__RefHeading___Toc2348_1773610119" w:tooltip="损兑法灵蓍">
            <w:r>
              <w:rPr>
                <w:rStyle w:val="Style11"/>
              </w:rPr>
              <w:t>损兑法灵蓍</w:t>
            </w:r>
            <w:r>
              <w:rPr>
                <w:rStyle w:val="Style11"/>
              </w:rPr>
              <w:tab/>
              <w:t>35</w:t>
            </w:r>
          </w:hyperlink>
          <w:r>
            <w:rPr>
              <w:rStyle w:val="Style11"/>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30321428"/>
      <w:bookmarkStart w:id="2" w:name="_Toc107271697"/>
      <w:bookmarkStart w:id="3" w:name="_Toc47593226"/>
      <w:bookmarkStart w:id="4" w:name="_Toc30321382"/>
      <w:bookmarkStart w:id="5" w:name="_Toc153345581"/>
      <w:bookmarkStart w:id="6" w:name="_Toc11865"/>
      <w:bookmarkStart w:id="7" w:name="_Toc1756558214"/>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推测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（文言指示代词，相当于“这”或“那”）</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贤良与不肖，在智慧与愚笨、勇敢和怯懦上是有差异的。可以捭，也可以阖；可以擢进，也可以黜退；可以轻视，也可以敬重，要顺应自然规律去主导他们。考察（一个人）是否真具备某种能力或品质，要依据其行为；追随并顺应他的喜好与欲望，从而观察他的意志。稍微驳斥一下其言论，而后捭出真话后再加以反对，以求弄清其实情，重视得其主旨；先“关门”而后“开启”，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w:t>
      </w:r>
      <w:r>
        <w:rPr>
          <w:rFonts w:ascii="华文宋体" w:hAnsi="华文宋体" w:eastAsia="华文宋体"/>
          <w:b/>
          <w:bCs/>
          <w:color w:val="000000"/>
        </w:rPr>
        <w:t>离</w:t>
      </w:r>
      <w:r>
        <w:rPr>
          <w:rFonts w:ascii="华文宋体" w:hAnsi="华文宋体" w:cs="Lucida Sans" w:eastAsia="华文宋体"/>
          <w:color w:val="7F7F7F"/>
          <w:kern w:val="2"/>
          <w:sz w:val="15"/>
          <w:szCs w:val="15"/>
          <w:lang w:val="en-US" w:eastAsia="zh-CN" w:bidi="hi-IN"/>
        </w:rPr>
        <w:t>（背离；违背）</w:t>
      </w:r>
      <w:r>
        <w:rPr>
          <w:rFonts w:ascii="华文宋体" w:hAnsi="华文宋体" w:eastAsia="华文宋体"/>
          <w:color w:val="000000"/>
        </w:rPr>
        <w:t>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w:t>
      </w:r>
      <w:r>
        <w:rPr>
          <w:rFonts w:ascii="华文宋体" w:hAnsi="华文宋体" w:eastAsia="华文宋体"/>
          <w:b/>
          <w:bCs/>
          <w:color w:val="000000"/>
        </w:rPr>
        <w:t>从</w:t>
      </w:r>
      <w:r>
        <w:rPr>
          <w:rFonts w:ascii="华文宋体" w:hAnsi="华文宋体" w:cs="Lucida Sans" w:eastAsia="华文宋体"/>
          <w:color w:val="7F7F7F"/>
          <w:kern w:val="2"/>
          <w:sz w:val="15"/>
          <w:szCs w:val="15"/>
          <w:lang w:val="en-US" w:eastAsia="zh-CN" w:bidi="hi-IN"/>
        </w:rPr>
        <w:t>（顺从；依从）</w:t>
      </w:r>
      <w:r>
        <w:rPr>
          <w:rFonts w:ascii="华文宋体" w:hAnsi="华文宋体" w:eastAsia="华文宋体"/>
          <w:color w:val="000000"/>
        </w:rPr>
        <w:t>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开门展示，有时关门闭藏。开门展示，是为了使对方产生共情；关门闭藏，是为了考察对方的诚意。可行与不可行，需审查清楚对方的计谋，以洞察双方意见相同或不相同的根源。背离和结合都要有操守，可以先顺从对方的志向。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w:t>
      </w:r>
      <w:r>
        <w:rPr>
          <w:rFonts w:ascii="华文宋体" w:hAnsi="华文宋体" w:cs="Lucida Sans" w:eastAsia="华文宋体"/>
          <w:color w:val="7F7F7F"/>
          <w:kern w:val="2"/>
          <w:sz w:val="15"/>
          <w:szCs w:val="15"/>
          <w:lang w:val="en-US" w:eastAsia="zh-CN" w:bidi="hi-IN"/>
        </w:rPr>
        <w:t>（计算，推测）</w:t>
      </w:r>
      <w:r>
        <w:rPr>
          <w:rFonts w:ascii="华文宋体" w:hAnsi="华文宋体" w:eastAsia="华文宋体"/>
          <w:b/>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，圣人因而为之虑。其</w:t>
      </w:r>
      <w:r>
        <w:rPr>
          <w:rFonts w:ascii="华文宋体" w:hAnsi="华文宋体" w:eastAsia="华文宋体"/>
          <w:b/>
          <w:bCs/>
          <w:color w:val="000000"/>
        </w:rPr>
        <w:t>不中</w:t>
      </w:r>
      <w:r>
        <w:rPr>
          <w:rFonts w:ascii="华文宋体" w:hAnsi="华文宋体" w:eastAsia="华文宋体"/>
          <w:color w:val="7F7F7F"/>
          <w:sz w:val="15"/>
          <w:szCs w:val="15"/>
        </w:rPr>
        <w:t>（不行，不成）</w:t>
      </w:r>
      <w:r>
        <w:rPr>
          <w:rFonts w:ascii="华文宋体" w:hAnsi="华文宋体" w:eastAsia="华文宋体"/>
          <w:color w:val="000000"/>
        </w:rPr>
        <w:t>权衡</w:t>
      </w:r>
      <w:r>
        <w:rPr>
          <w:rFonts w:ascii="华文宋体" w:hAnsi="华文宋体" w:eastAsia="华文宋体"/>
          <w:b w:val="false"/>
          <w:bCs w:val="false"/>
          <w:color w:val="000000"/>
        </w:rPr>
        <w:t>度数</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用捭的人，是为了预料对方的实情；用阖的人，是为了联结对方的真诚。都看明白后，当权衡轻重，再为之推测出方法，圣智之人因而为之考虑。当不能够推测出方法时，圣智之人因而只能自行考虑退路了。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（同“纳”，收入；接受）</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用捭，有时使其能够暴露出真情实感，有时使其吐露想法并进言（向师长或长官建议）；用阖，有时对其进行抑制以便顺利起用他，有时对其进行抑制以便抛弃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捭阖的规律，通过从阴、阳两个方面来尝试。跟志向高远者（阳）谈论时，以使用上述阳类事物的崇高语言为主；与目光短浅者（阴）谈论时，以使用上述阴类事物的卑下语言为主。以卑下的语言去打动小人，用崇高的语言去打动大人。根据这个方法去游说，就没有试探不出来的真情实感，就没有不听从我们决策的人，就没有不能说服的对象。用捭阖之术可以游说普通的个人，可以游说朝廷的大臣，可以游说诸侯国的国君，可以游说周天子。做小事没有内在制约，做大事没有外在阻碍。增益和减损、离去和投奔、背离和返归，都是通过阴、阳的变化来控制这事态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59951715"/>
      <w:bookmarkStart w:id="10" w:name="_Toc30321383"/>
      <w:bookmarkStart w:id="11" w:name="_Toc30321429"/>
      <w:bookmarkStart w:id="12" w:name="_Toc47593227"/>
      <w:bookmarkStart w:id="13" w:name="_Toc2372"/>
      <w:bookmarkStart w:id="14" w:name="_Toc153345582"/>
      <w:bookmarkStart w:id="15" w:name="_Toc867234267"/>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w:t>
      </w:r>
      <w:r>
        <w:rPr>
          <w:rFonts w:ascii="华文宋体" w:hAnsi="华文宋体" w:eastAsia="华文宋体"/>
          <w:b/>
          <w:bCs/>
          <w:color w:val="000000"/>
        </w:rPr>
        <w:t>有</w:t>
      </w:r>
      <w:r>
        <w:rPr>
          <w:rFonts w:ascii="华文宋体" w:hAnsi="华文宋体" w:cs="Lucida Sans" w:eastAsia="华文宋体"/>
          <w:color w:val="7F7F7F"/>
          <w:kern w:val="2"/>
          <w:sz w:val="15"/>
          <w:szCs w:val="15"/>
          <w:lang w:val="en-US" w:eastAsia="zh-CN" w:bidi="hi-IN"/>
        </w:rPr>
        <w:t>（不無也）</w:t>
      </w:r>
      <w:r>
        <w:rPr>
          <w:rFonts w:ascii="华文宋体" w:hAnsi="华文宋体" w:eastAsia="华文宋体"/>
          <w:color w:val="000000"/>
        </w:rPr>
        <w:t>反而得</w:t>
      </w:r>
      <w:r>
        <w:rPr>
          <w:rFonts w:ascii="华文宋体" w:hAnsi="华文宋体" w:eastAsia="华文宋体"/>
          <w:b/>
          <w:bCs/>
          <w:color w:val="000000"/>
        </w:rPr>
        <w:t>覆</w:t>
      </w:r>
      <w:r>
        <w:rPr>
          <w:rFonts w:ascii="华文宋体" w:hAnsi="华文宋体" w:cs="Lucida Sans" w:eastAsia="华文宋体"/>
          <w:color w:val="7F7F7F"/>
          <w:kern w:val="2"/>
          <w:sz w:val="15"/>
          <w:szCs w:val="15"/>
          <w:lang w:val="en-US" w:eastAsia="zh-CN" w:bidi="hi-IN"/>
        </w:rPr>
        <w:t>（审察；查核）</w:t>
      </w:r>
      <w:r>
        <w:rPr>
          <w:rFonts w:ascii="华文宋体" w:hAnsi="华文宋体" w:eastAsia="华文宋体"/>
          <w:color w:val="000000"/>
        </w:rPr>
        <w:t>者，圣人之意也，不可不</w:t>
      </w:r>
      <w:r>
        <w:rPr>
          <w:rFonts w:ascii="华文宋体" w:hAnsi="华文宋体" w:eastAsia="华文宋体"/>
          <w:b/>
          <w:bCs/>
          <w:color w:val="000000"/>
        </w:rPr>
        <w:t>察</w:t>
      </w:r>
      <w:r>
        <w:rPr>
          <w:rFonts w:ascii="华文宋体" w:hAnsi="华文宋体" w:cs="Lucida Sans" w:eastAsia="华文宋体"/>
          <w:color w:val="7F7F7F"/>
          <w:kern w:val="2"/>
          <w:sz w:val="15"/>
          <w:szCs w:val="15"/>
          <w:lang w:val="en-US" w:eastAsia="zh-CN" w:bidi="hi-IN"/>
        </w:rPr>
        <w:t>（调查；考察）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对方，再来了解自己。动与静、虚与实的顺序，与当前不相符合，就要返回历史中去寻求（答案）。事情不无反复验证而得以查核的，这是圣智之人的意愿，不可不考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w:t>
      </w:r>
      <w:r>
        <w:rPr>
          <w:rFonts w:ascii="华文宋体" w:hAnsi="华文宋体" w:eastAsia="华文宋体"/>
          <w:b/>
          <w:bCs/>
          <w:color w:val="000000"/>
        </w:rPr>
        <w:t>会</w:t>
      </w:r>
      <w:r>
        <w:rPr>
          <w:rFonts w:ascii="华文宋体" w:hAnsi="华文宋体" w:cs="Lucida Sans" w:eastAsia="华文宋体"/>
          <w:color w:val="7F7F7F"/>
          <w:kern w:val="2"/>
          <w:sz w:val="15"/>
          <w:szCs w:val="15"/>
          <w:lang w:val="en-US" w:eastAsia="zh-CN" w:bidi="hi-IN"/>
        </w:rPr>
        <w:t>（时机）</w:t>
      </w:r>
      <w:r>
        <w:rPr>
          <w:rFonts w:ascii="华文宋体" w:hAnsi="华文宋体" w:eastAsia="华文宋体"/>
          <w:color w:val="000000"/>
        </w:rPr>
        <w:t>而</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他人侃侃而谈，是动；自己沉默倾听，是静。透过其说的话，听其话语中的用辞。话语中有前后矛盾或不合情理的地方，以反问的方式去寻求（答案），从他的反应中必定能探出真情。话语不可没有摹拟，事情不可没有譬喻。当有“象”和“比”的手法，那么就要观察其中的意思。所谓“象”，就是以摹拟的方式形容事物，所谓“比”，就是以譬喻的方式表达言辞。通过使用无形的方式去寻求他人的有声回应，当“钓”别人的话符合事情原委时，就能探得他人的真实情况。这就好像张开网捕野兽一样，多张些网，当时机到来后等候野兽落网。捕兽的规律用在人事上，对方自然会吐露出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w:t>
      </w:r>
      <w:r>
        <w:rPr>
          <w:rFonts w:ascii="华文宋体" w:hAnsi="华文宋体" w:eastAsia="华文宋体"/>
          <w:b/>
          <w:bCs/>
          <w:color w:val="000000"/>
        </w:rPr>
        <w:t>见</w:t>
      </w:r>
      <w:r>
        <w:rPr>
          <w:rFonts w:ascii="华文宋体" w:hAnsi="华文宋体" w:cs="Lucida Sans" w:eastAsia="华文宋体"/>
          <w:color w:val="7F7F7F"/>
          <w:kern w:val="2"/>
          <w:sz w:val="15"/>
          <w:szCs w:val="15"/>
          <w:lang w:val="en-US" w:eastAsia="zh-CN" w:bidi="hi-IN"/>
        </w:rPr>
        <w:t>（古同“现”，出现，显露）</w:t>
      </w:r>
      <w:r>
        <w:rPr>
          <w:rFonts w:ascii="华文宋体" w:hAnsi="华文宋体" w:eastAsia="华文宋体"/>
          <w:color w:val="000000"/>
        </w:rPr>
        <w:t>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当对方不说话或言辞中没有譬喻时，就要为之做出改变。用“象”的手法来使动口，以此走进其心；显露其实情后，随后主导对方。自己和对方这样反复多次你来我往，说话中有象、比，因而获得判定的根据。要表现得十分谨慎，不要轻易暴露自己的意图；要通过突然发问的方式，不给对方任何巧言令色、掩盖事实的机会；要不时地反驳对方话语中有前后矛盾或不合情理的地方，以探求实情；要查核对方说过的话，并反复从侧面去验证，任何事情不会从对方的言辞中漏掉。圣智之人用这种方法引导愚者或智者，事情都会毫无疑惑。那善于反问倾听的人，才能够用鬼神莫测的手段来获得实情。当应变得当，就能在主导对方时做到周密。主导对方时不能做到周密，（是因为）从对方获得的实情不明了；获得的实情不明了，判定的根据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对方必定会有“反应”的言辞，则回过头来倾听。想要听到对方讲话，反而自己要先沉默；想要让对方膨胀，反而自己要先收敛；想要抬高对方，反而自己要先谦下；想从对方那里有所获取，反而自己要先给予对方好处。想要了解对方的实情，“摩拟”并且“譬喻”要说的话，以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中间要听明真伪，了解异同，从而得到实情或诡诈之处。动作、言语、口气与这预料的会有出入，喜悦与愤怒在预料的过程中显现其样式，都以预先判定作为法则。用反问寻求查核，观察其寄托。那用这种方法，自己要心平气和，以听取对方的言辞，考察其事情，论说万物，辨别事物性质。即使是从无关的事物中，也可通过观察细微迹象来推断事物类别。像探察别人时钻到他心中探察一样，（准确地）估计出他的能力、猜测出他的意愿。符应不落空，像螣蛇指示祸福一样（准确无误），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（通“伺”，候也）</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那了解他人要从了解自己开始，只有了解自己而后才能了解他人。这互相了解，就像比目鱼相并而行般一丝不差。当显露形态，像阳光之下显露影子一样。当考察对方的言辞会不失毫厘地捕捉到对方的真实意图，就像用磁石取针，如同舌头来获取焦骨上的肉一样（万无一失）。当与人交往时不露声色，当发现实情时又快又准；如同阴与阳，圆与方般明显。对方未形迹未显时，我们要用圆通灵活的手法去引导他；对方形迹已显时，我们就要按照设定好的谋略去应对他。无论是自己进退还是左右他人，以用这种方式去等候他。自己不预先判定，不能正确地主导他人，再加上做事没有技巧，是为“忘记实情、丢失规律”。自己先要审慎地判定，以此来主导他人，策划并且不露行迹，让对方摸不着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644679059"/>
      <w:bookmarkStart w:id="18" w:name="_Toc47593228"/>
      <w:bookmarkStart w:id="19" w:name="_Toc11519"/>
      <w:bookmarkStart w:id="20" w:name="_Toc153345583"/>
      <w:bookmarkStart w:id="21" w:name="_Toc30321430"/>
      <w:bookmarkStart w:id="22" w:name="_Toc30321384"/>
      <w:bookmarkStart w:id="23" w:name="_Toc1908579548"/>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投奔后却得不到任用，有的离去后却被四处招引。有的天天都出现在君主面前却不能驾驭，有的只是遥闻其名便被君主日夜思念。侍奉（君主）时都会有进言和劝谏，向来结交于初始。有的靠道德相联结，有的靠朋党相联结，有的靠财货相联结，有的靠美色相联结。摸准了君主的意愿后迎合其意，那么想入政就能入政，想出世就能出世，想亲近君主就能亲近，想疏远君主就能疏远，想投奔就能投奔，想离去就能离去，想被招引就被招引，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劝阻其所谋。想要游说君主，务必先悄悄地揣测君主的心意；谋划事情的时候，务必顺从君主的心意。暗中思虑此事此时可否进言，然后向君主言明谋划的利害得失，以控制其志向。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进言有不合君主心意的地方，就不可付诸实施。此时就要估量当前最急迫的形势，从有利于君主的角度出发，以寻求其改变。以变通的方式来寻求进言，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情况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w:t>
      </w:r>
      <w:r>
        <w:rPr>
          <w:rFonts w:ascii="华文宋体" w:hAnsi="华文宋体" w:eastAsia="华文宋体"/>
          <w:b/>
          <w:bCs/>
          <w:color w:val="000000"/>
        </w:rPr>
        <w:t>情</w:t>
      </w:r>
      <w:r>
        <w:rPr>
          <w:rFonts w:ascii="华文宋体" w:hAnsi="华文宋体" w:cs="Lucida Sans" w:eastAsia="华文宋体"/>
          <w:color w:val="7F7F7F"/>
          <w:kern w:val="2"/>
          <w:sz w:val="15"/>
          <w:szCs w:val="15"/>
          <w:lang w:val="en-US" w:eastAsia="zh-CN" w:bidi="hi-IN"/>
        </w:rPr>
        <w:t>（情，谓情实。实情，情况）</w:t>
      </w:r>
      <w:r>
        <w:rPr>
          <w:rFonts w:ascii="华文宋体" w:hAnsi="华文宋体" w:eastAsia="华文宋体"/>
          <w:color w:val="000000"/>
        </w:rPr>
        <w:t>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投奔君主却得不到任用，是因为他的策划没有实际效果；离开君主却反而被招引，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谋划的人，一定会事与愿违；在还没掌握对方实情时就去游说的人，一定会受到非难。只有获得对方的实情，才能够把握内楗之术。如此运用这种方法，可以出世、可以入世；可以劝谏、可以开导。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w:t>
      </w:r>
      <w:r>
        <w:rPr>
          <w:rFonts w:ascii="华文宋体" w:hAnsi="华文宋体" w:eastAsia="华文宋体"/>
          <w:b/>
          <w:bCs/>
          <w:color w:val="000000"/>
        </w:rPr>
        <w:t>策</w:t>
      </w:r>
      <w:r>
        <w:rPr>
          <w:rFonts w:ascii="华文宋体" w:hAnsi="华文宋体" w:cs="Lucida Sans" w:eastAsia="华文宋体"/>
          <w:color w:val="7F7F7F"/>
          <w:kern w:val="2"/>
          <w:sz w:val="15"/>
          <w:szCs w:val="15"/>
          <w:lang w:val="en-US" w:eastAsia="zh-CN" w:bidi="hi-IN"/>
        </w:rPr>
        <w:t>（谋划；策划）</w:t>
      </w:r>
      <w:r>
        <w:rPr>
          <w:rFonts w:ascii="华文宋体" w:hAnsi="华文宋体" w:eastAsia="华文宋体"/>
          <w:color w:val="000000"/>
        </w:rPr>
        <w:t>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方法，然后揣度策划未来的事情，遇到疑难之事进行决断。在策划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内心志得意满、刚愎自用并且对外来道理、建议排斥不进的，游说并且恭维他。如果有君主亲自颁发命令来召己，就要先迎合再设法逐步控制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557920471"/>
      <w:bookmarkStart w:id="26" w:name="_Toc13255"/>
      <w:bookmarkStart w:id="27" w:name="_Toc47593229"/>
      <w:bookmarkStart w:id="28" w:name="_Toc153345584"/>
      <w:bookmarkStart w:id="29" w:name="_Toc30321431"/>
      <w:bookmarkStart w:id="30" w:name="_Toc30321385"/>
      <w:bookmarkStart w:id="31" w:name="_Toc169724352"/>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万物有自然发展，事情有聚散离合。有的近在身边却难以看透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就是小的裂缝；小的裂缝，会发展成中等裂缝；中等裂缝，会发展成大的裂缝。小的裂缝刚出现迹象时，通过“抵”使其闭塞，通过“抵”使其缩小，通过“抵”使其停止，通过“抵”使其隐匿，通过“抵”进行取代，这就是用“抵”处理裂缝的原理。</w:t>
      </w:r>
    </w:p>
    <w:p>
      <w:pPr>
        <w:pStyle w:val="Normal"/>
        <w:ind w:firstLine="420"/>
        <w:rPr>
          <w:rFonts w:ascii="华文宋体" w:hAnsi="华文宋体" w:eastAsia="华文宋体"/>
        </w:rPr>
      </w:pPr>
      <w:r>
        <w:rPr>
          <w:rFonts w:ascii="华文宋体" w:hAnsi="华文宋体" w:eastAsia="华文宋体"/>
          <w:color w:val="000000"/>
        </w:rPr>
        <w:t>事</w:t>
      </w:r>
      <w:r>
        <w:rPr>
          <w:rFonts w:ascii="华文宋体" w:hAnsi="华文宋体" w:eastAsia="华文宋体"/>
          <w:b/>
          <w:bCs/>
          <w:color w:val="000000"/>
        </w:rPr>
        <w:t>之</w:t>
      </w:r>
      <w:r>
        <w:rPr>
          <w:rFonts w:ascii="华文宋体" w:hAnsi="华文宋体" w:cs="Lucida Sans" w:eastAsia="华文宋体"/>
          <w:color w:val="7F7F7F"/>
          <w:kern w:val="2"/>
          <w:sz w:val="15"/>
          <w:szCs w:val="15"/>
          <w:lang w:val="en-US" w:eastAsia="zh-CN" w:bidi="hi-IN"/>
        </w:rPr>
        <w:t>（之，出也）</w:t>
      </w:r>
      <w:r>
        <w:rPr>
          <w:rFonts w:ascii="华文宋体" w:hAnsi="华文宋体" w:eastAsia="华文宋体"/>
          <w:color w:val="000000"/>
        </w:rPr>
        <w:t>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w:t>
      </w:r>
      <w:r>
        <w:rPr>
          <w:rFonts w:ascii="华文宋体" w:hAnsi="华文宋体" w:eastAsia="华文宋体"/>
          <w:b/>
          <w:bCs/>
          <w:color w:val="000000"/>
        </w:rPr>
        <w:t>因</w:t>
      </w:r>
      <w:r>
        <w:rPr>
          <w:rFonts w:ascii="华文宋体" w:hAnsi="华文宋体" w:cs="Lucida Sans" w:eastAsia="华文宋体"/>
          <w:color w:val="7F7F7F"/>
          <w:kern w:val="2"/>
          <w:sz w:val="15"/>
          <w:szCs w:val="15"/>
          <w:lang w:val="en-US" w:eastAsia="zh-CN" w:bidi="hi-IN"/>
        </w:rPr>
        <w:t>（顺；顺应）</w:t>
      </w:r>
      <w:r>
        <w:rPr>
          <w:rFonts w:ascii="华文宋体" w:hAnsi="华文宋体" w:eastAsia="华文宋体"/>
          <w:color w:val="000000"/>
        </w:rPr>
        <w:t>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出现危险，圣智之人察觉出，将会保全其自身。（他们）顺应变化来谈论事情，通达应对的计谋，以识别细微的征兆。经过初起时如秋毫之末般微小的事情，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叫作 “轻微的裂痕” 。圣智之人看到轻微的裂痕时，就会采取法制来“抵”。世道可以治理，就通过“抵”的方式堵塞漏洞；不可治理，就通过“抵”的方式进行取代。或用这种方法“抵”，或用那种手法“抵”；或通过“抵”使其恢复原状，或通过 “抵” 将其颠覆重塑。五帝时代的政治，是以“抵”的方式堵塞漏洞；三王时代的政事，是以“抵”的方式进行取代。（现今）诸侯之间互相使用“抵”，其次数之多已无法统计；当此之时，能用“抵”者为高。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从天地的合离、终始，必定有裂缝伴随，不可不考察。凭借“捭阖”去考察，且能运用“抵巇”的，就是圣智之人。所谓圣智之人，乃是天地的使者。世间没有（裂缝）可“抵”，就隐居起来等待时机；当世有（裂缝）需“抵”时，就为之做谋划。此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47593230"/>
      <w:bookmarkStart w:id="34" w:name="_Toc23349"/>
      <w:bookmarkStart w:id="35" w:name="_Toc30321432"/>
      <w:bookmarkStart w:id="36" w:name="_Toc264642135"/>
      <w:bookmarkStart w:id="37" w:name="_Toc153345585"/>
      <w:bookmarkStart w:id="38" w:name="_Toc30321386"/>
      <w:bookmarkStart w:id="39" w:name="_Toc1943437535"/>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w:t>
      </w:r>
      <w:r>
        <w:rPr>
          <w:rFonts w:ascii="华文宋体" w:hAnsi="华文宋体" w:eastAsia="华文宋体"/>
          <w:b/>
          <w:bCs/>
          <w:color w:val="000000"/>
        </w:rPr>
        <w:t>度</w:t>
      </w:r>
      <w:r>
        <w:rPr>
          <w:rFonts w:ascii="华文宋体" w:hAnsi="华文宋体" w:cs="Lucida Sans" w:eastAsia="华文宋体"/>
          <w:color w:val="7F7F7F"/>
          <w:kern w:val="2"/>
          <w:sz w:val="15"/>
          <w:szCs w:val="15"/>
          <w:lang w:val="en-US" w:eastAsia="zh-CN" w:bidi="hi-IN"/>
        </w:rPr>
        <w:t>（估计，推测）</w:t>
      </w:r>
      <w:r>
        <w:rPr>
          <w:rFonts w:ascii="华文宋体" w:hAnsi="华文宋体" w:eastAsia="华文宋体"/>
          <w:color w:val="000000"/>
        </w:rPr>
        <w:t>、</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（衡量，比较）</w:t>
      </w:r>
      <w:r>
        <w:rPr>
          <w:rFonts w:ascii="华文宋体" w:hAnsi="华文宋体" w:eastAsia="华文宋体"/>
          <w:color w:val="000000"/>
        </w:rPr>
        <w:t>、</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（估量）</w:t>
      </w:r>
      <w:r>
        <w:rPr>
          <w:rFonts w:ascii="华文宋体" w:hAnsi="华文宋体" w:eastAsia="华文宋体"/>
          <w:color w:val="000000"/>
        </w:rPr>
        <w:t>能，</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远、</w:t>
      </w:r>
      <w:r>
        <w:rPr>
          <w:rFonts w:ascii="华文宋体" w:hAnsi="华文宋体" w:eastAsia="华文宋体"/>
          <w:b/>
          <w:bCs/>
          <w:color w:val="000000"/>
        </w:rPr>
        <w:t>来</w:t>
      </w:r>
      <w:r>
        <w:rPr>
          <w:rFonts w:ascii="华文宋体" w:hAnsi="华文宋体" w:cs="Lucida Sans" w:eastAsia="华文宋体"/>
          <w:color w:val="7F7F7F"/>
          <w:kern w:val="2"/>
          <w:sz w:val="15"/>
          <w:szCs w:val="15"/>
          <w:lang w:val="en-US" w:eastAsia="zh-CN" w:bidi="hi-IN"/>
        </w:rPr>
        <w:t>（招来；招致。后多作“徕”）</w:t>
      </w:r>
      <w:r>
        <w:rPr>
          <w:rFonts w:ascii="华文宋体" w:hAnsi="华文宋体" w:eastAsia="华文宋体"/>
          <w:color w:val="000000"/>
        </w:rPr>
        <w:t>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w:t>
      </w:r>
      <w:r>
        <w:rPr>
          <w:rFonts w:ascii="华文宋体" w:hAnsi="华文宋体" w:eastAsia="华文宋体"/>
          <w:b/>
          <w:bCs/>
          <w:color w:val="000000"/>
        </w:rPr>
        <w:t>求</w:t>
      </w:r>
      <w:r>
        <w:rPr>
          <w:rFonts w:ascii="华文宋体" w:hAnsi="华文宋体" w:cs="Lucida Sans" w:eastAsia="华文宋体"/>
          <w:color w:val="7F7F7F"/>
          <w:kern w:val="2"/>
          <w:sz w:val="15"/>
          <w:szCs w:val="15"/>
          <w:lang w:val="en-US" w:eastAsia="zh-CN" w:bidi="hi-IN"/>
        </w:rPr>
        <w:t>（请求；干请；乞助）</w:t>
      </w:r>
      <w:r>
        <w:rPr>
          <w:rFonts w:ascii="华文宋体" w:hAnsi="华文宋体" w:eastAsia="华文宋体"/>
          <w:color w:val="000000"/>
        </w:rPr>
        <w:t>，乃可用。</w:t>
      </w:r>
    </w:p>
    <w:p>
      <w:pPr>
        <w:pStyle w:val="Normal"/>
        <w:ind w:firstLine="420"/>
        <w:rPr>
          <w:rFonts w:ascii="华文宋体" w:hAnsi="华文宋体" w:eastAsia="华文宋体"/>
        </w:rPr>
      </w:pPr>
      <w:r>
        <w:rPr>
          <w:rFonts w:ascii="华文宋体" w:hAnsi="华文宋体" w:eastAsia="华文宋体"/>
          <w:color w:val="7F7F7F"/>
          <w:sz w:val="15"/>
          <w:szCs w:val="15"/>
        </w:rPr>
        <w:t>凡是测度、权衡、估量能力，用来征召远处、招徕近处的贤才。确立形势而后裁决事情，必须先观察双方观点的相同点和不同点，辨别出对方言语中的是与非，看见对方言语中表面和深层的含义。识别对方是否有方法决安危之计、定亲疏之事，然后才权衡和估量对方。当有可匡正自己的人，才可征召，才可求助，才可任用。</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取和箝制的言辞，通过恭维来箝制他们。钩取和箝制的话语，其说辞，要忽而说出相同点，忽而说出不同点。那些不可以亲善的，有的先征召他，而后让他背上沉重的累赘；有的先让他背上沉重的累赘，而后毁灭他。有的以沉重的累赘作为毁灭的方式，有的以毁灭的方式让他背上沉重的累赘。其运用：有的根据情况赏赐财物、美玉、珠宝、白璧丝绢、美女来侍奉他，有的估量能力并确立形势后用名禄地位来钩取他，有的观察等候看见裂缝而后箝制他，这些事情要运用“抵巇”。</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w:t>
      </w:r>
      <w:r>
        <w:rPr>
          <w:rFonts w:ascii="华文宋体" w:hAnsi="华文宋体" w:eastAsia="华文宋体"/>
          <w:b/>
          <w:bCs/>
          <w:color w:val="000000"/>
        </w:rPr>
        <w:t>审</w:t>
      </w:r>
      <w:r>
        <w:rPr>
          <w:rFonts w:ascii="华文宋体" w:hAnsi="华文宋体" w:cs="Lucida Sans" w:eastAsia="华文宋体"/>
          <w:color w:val="7F7F7F"/>
          <w:kern w:val="2"/>
          <w:sz w:val="15"/>
          <w:szCs w:val="15"/>
          <w:lang w:val="en-US" w:eastAsia="zh-CN" w:bidi="hi-IN"/>
        </w:rPr>
        <w:t>（审，谓详观其道也）</w:t>
      </w:r>
      <w:r>
        <w:rPr>
          <w:rFonts w:ascii="华文宋体" w:hAnsi="华文宋体" w:eastAsia="华文宋体"/>
          <w:color w:val="000000"/>
        </w:rPr>
        <w:t>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测度、权衡、估量能力，了解国家命运的盛衰趋势，裁决国家地形的宽窄和山川的攻守难易之处，人口、财富的多少，与诸侯的交往亲密谁、仇恨谁、喜好谁、憎恶谁，以及怀着什么样的心意。详细观察君主的意愿，了解了他喜欢什么、讨厌什么，然后针对君主最重视的事进行游说，再用恭维和箝制的言辞钩取对方的喜好所在，以箝制的方式求助他。</w:t>
      </w:r>
    </w:p>
    <w:p>
      <w:pPr>
        <w:pStyle w:val="Normal"/>
        <w:ind w:firstLine="420"/>
        <w:rPr>
          <w:rFonts w:ascii="华文宋体" w:hAnsi="华文宋体" w:eastAsia="华文宋体"/>
        </w:rPr>
      </w:pPr>
      <w:r>
        <w:rPr>
          <w:rFonts w:ascii="华文宋体" w:hAnsi="华文宋体" w:eastAsia="华文宋体"/>
          <w:color w:val="000000"/>
        </w:rPr>
        <w:t>用之于人，则量智能、权材力、</w:t>
      </w:r>
      <w:r>
        <w:rPr>
          <w:rFonts w:ascii="华文宋体" w:hAnsi="华文宋体" w:eastAsia="华文宋体"/>
          <w:b/>
          <w:bCs/>
          <w:color w:val="000000"/>
        </w:rPr>
        <w:t>料</w:t>
      </w:r>
      <w:r>
        <w:rPr>
          <w:rFonts w:ascii="华文宋体" w:hAnsi="华文宋体" w:cs="Lucida Sans" w:eastAsia="华文宋体"/>
          <w:color w:val="7F7F7F"/>
          <w:kern w:val="2"/>
          <w:sz w:val="15"/>
          <w:szCs w:val="15"/>
          <w:lang w:val="en-US" w:eastAsia="zh-CN" w:bidi="hi-IN"/>
        </w:rPr>
        <w:t>（料，量也。计量）</w:t>
      </w:r>
      <w:r>
        <w:rPr>
          <w:rFonts w:ascii="华文宋体" w:hAnsi="华文宋体" w:eastAsia="华文宋体"/>
          <w:color w:val="000000"/>
        </w:rPr>
        <w:t>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（计算，推测）</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时，则要估量对方的智慧和能力、权衡对方的才干和力量、计量对方的气概和威势，（把它们）作为与之相处的关键。去迎合他、追随他，用箝制的方式调和彼此的关系，以意愿去疏导他，这就是用飞箝来联结。对人使用“飞箝”时，则通过赞扬、称颂的赞誉方式使对方说出实话，然后紧紧与之联结，以探究其言辞。可通过箝制的方式使他向纵的方向，可通过箝制的方式使他向横的方向。可引他向东，可引他向西；可引他向南，可引他向北；可引他返回，可引他回去。虽然翻来覆去，不会失去测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30321387"/>
      <w:bookmarkStart w:id="42" w:name="_Toc153345586"/>
      <w:bookmarkStart w:id="43" w:name="_Toc15496"/>
      <w:bookmarkStart w:id="44" w:name="_Toc30321433"/>
      <w:bookmarkStart w:id="45" w:name="_Toc47593231"/>
      <w:bookmarkStart w:id="46" w:name="_Toc1452349820"/>
      <w:bookmarkStart w:id="47" w:name="_Toc1249941778"/>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谋划要适合实际情况。事物的变化运转像圆环一样互相衔接，（每个环节）各有其发展形势；要反复从正面、反面仔细进行探求，根据事情（的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世上没有恒久的重视（对象），事情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推测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47593232"/>
      <w:bookmarkStart w:id="50" w:name="_Toc1401013603"/>
      <w:bookmarkStart w:id="51" w:name="_Toc12517"/>
      <w:bookmarkStart w:id="52" w:name="_Toc30321434"/>
      <w:bookmarkStart w:id="53" w:name="_Toc153345587"/>
      <w:bookmarkStart w:id="54" w:name="_Toc30321388"/>
      <w:bookmarkStart w:id="55" w:name="_Toc720891011"/>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的人，必会衡量天下的（政治）形势，并且揣测诸侯的实情。衡量形势时不能做到详细，就不知道哪个诸侯国强大、哪个诸侯国弱小、哪个诸侯国不重要、哪个诸侯国重要；揣测实情时不能做到详细，就不能了解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实情的人，必须在对方很高兴的时候，最大限度地刺激并满足他的欲望，当他有欲望的时候，就不能隐瞒住他的实情；必须在对方很恐惧的时候，最大限度地诱发他的憎恶，当他有憎恶的时候，就不能隐瞒住他的实情。实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实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实情，一切谋划和思虑、实情和欲望的出发点就在于此。善于“揣情”的人，就可以让人富贵，就可以让人贫贱；就可以让人被重视，就可以让人被轻贱；就可以获得利益，就可以遭到损害；就可以让人成功，就可以让人失败，其方法是一样的。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实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53345588"/>
      <w:bookmarkStart w:id="58" w:name="_Toc30321389"/>
      <w:bookmarkStart w:id="59" w:name="_Toc30321435"/>
      <w:bookmarkStart w:id="60" w:name="_Toc710633081"/>
      <w:bookmarkStart w:id="61" w:name="_Toc27965"/>
      <w:bookmarkStart w:id="62" w:name="_Toc47593233"/>
      <w:bookmarkStart w:id="63" w:name="_Toc1614659360"/>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观察与内心活动相符合的外在反应，是揣测的主旨。运用“摩”有一定的规律，其规律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实情，而他人不知道我们对他实施摩术，故而达到探测对方内心的目的却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方法。这叫作规律、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w:t>
      </w:r>
      <w:r>
        <w:rPr>
          <w:rFonts w:ascii="华文宋体" w:hAnsi="华文宋体" w:eastAsia="华文宋体"/>
          <w:b/>
          <w:bCs/>
          <w:color w:val="000000"/>
        </w:rPr>
        <w:t>成</w:t>
      </w:r>
      <w:r>
        <w:rPr>
          <w:rFonts w:ascii="华文宋体" w:hAnsi="华文宋体" w:cs="Lucida Sans" w:eastAsia="华文宋体"/>
          <w:color w:val="7F7F7F"/>
          <w:kern w:val="2"/>
          <w:sz w:val="15"/>
          <w:szCs w:val="15"/>
          <w:lang w:val="en-US" w:eastAsia="zh-CN" w:bidi="hi-IN"/>
        </w:rPr>
        <w:t>（成，就也）</w:t>
      </w:r>
      <w:r>
        <w:rPr>
          <w:rFonts w:ascii="华文宋体" w:hAnsi="华文宋体" w:eastAsia="华文宋体"/>
          <w:color w:val="000000"/>
        </w:rPr>
        <w:t>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想让游说对象听从，必定要与实情相合，所以说：与实情相合便会听从。故而世上的事物都是物以类聚，抱起柴草扔进火中，干燥的先被点燃；在平坦的地面倒水，湿润的地方先积水。这就是事物以类而应的道理，在形势上也是这样的。这里是说要仔细观察与内心活动相符合的外在反应，对外在反应的摩也要像这样。所以说：用以类相从的方式去摩，焉有不相呼应的？若顺着对方的欲望去摩，焉有不听从的？所以说这是独行天下的规律。见到微小的朕兆后采取行动，就不会为时已晚；成就却不阻止，时间久了便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47593234"/>
      <w:bookmarkStart w:id="66" w:name="_Toc30321436"/>
      <w:bookmarkStart w:id="67" w:name="_Toc1178"/>
      <w:bookmarkStart w:id="68" w:name="_Toc153345589"/>
      <w:bookmarkStart w:id="69" w:name="_Toc30321390"/>
      <w:bookmarkStart w:id="70" w:name="_Toc585797414"/>
      <w:bookmarkStart w:id="71" w:name="_Toc19483083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说服别人；说服别人，就要帮助到别人。修饰言辞，就是借助言辞的力量；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覆，是想让彼此互相都退一步。说为难对方的话，就是反复谈论让对方为难的话题；反复谈论让对方为难的话题，是为了引诱对方将细微的实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开启和闭藏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话。”乱说话的人，是有忌讳的。所谓“众口铄金”，就是乱说话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（形势；情势）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w:t>
      </w:r>
      <w:r>
        <w:rPr>
          <w:rFonts w:ascii="华文宋体" w:hAnsi="华文宋体" w:eastAsia="华文宋体"/>
          <w:b/>
          <w:bCs/>
          <w:color w:val="000000"/>
        </w:rPr>
        <w:t>锐</w:t>
      </w:r>
      <w:r>
        <w:rPr>
          <w:rFonts w:ascii="华文宋体" w:hAnsi="华文宋体" w:cs="Lucida Sans" w:eastAsia="华文宋体"/>
          <w:color w:val="7F7F7F"/>
          <w:kern w:val="2"/>
          <w:sz w:val="15"/>
          <w:szCs w:val="15"/>
          <w:lang w:val="en-US" w:eastAsia="zh-CN" w:bidi="hi-IN"/>
        </w:rPr>
        <w:t>（锐，芒也）</w:t>
      </w:r>
      <w:r>
        <w:rPr>
          <w:rFonts w:ascii="华文宋体" w:hAnsi="华文宋体" w:eastAsia="华文宋体"/>
          <w:color w:val="000000"/>
        </w:rPr>
        <w:t>。此其术也，而人常反之。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精神衰弱，神气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才可以运用，对自己有利才能施行。所以游说智慧的人依靠博识多闻，游说博识多闻的人依靠条理明晰，游说条理明晰的人依靠切中要点，游说显贵的人依靠形势，游说富裕的人依靠敬重，游说贫穷的人依靠利益，游说卑贱的人依靠谦和，游说勇敢的人依靠果敢，游说愚蠢的人依靠锐利（锋芒）。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明道理；与愚笨的人谈话时，就要把这些方法教给他，然而事实上很难做到。所以谈话要多谈些共同话题，做事要多运用权变。因此即使整日谈话也不会失去共同话题，因此这个谈话过程不会混乱。整日不变换话题，也不会偏离谈话的主旨。所以智慧贵在不轻举妄动，听事情贵在于心思灵敏，智慧贵在能够了解和看清楚事物，说辞、辩辞贵在出人意外。</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911504720"/>
      <w:bookmarkStart w:id="74" w:name="_Toc47593235"/>
      <w:bookmarkStart w:id="75" w:name="_Toc20293"/>
      <w:bookmarkStart w:id="76" w:name="_Toc30321391"/>
      <w:bookmarkStart w:id="77" w:name="_Toc30321437"/>
      <w:bookmarkStart w:id="78" w:name="_Toc153345590"/>
      <w:bookmarkStart w:id="79" w:name="_Toc1224311797"/>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实情。详细探得其实情，继而制定三种策略。所谓三种策略，是为上策、中策、下策。将这三种策略互相参验，以制定出解决问题的奇策良谋来。真正的奇策良谋不应该让人感觉有所壅塞或阻挡，这个设计原则从古代开始就已经被人们所遵从。所以郑国人到山里去采玉时，必定带着能指示方向的司南车，为的是不迷失方向。这推测对方的才干，衡量对方的能力，揣测对方的实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w:t>
      </w:r>
      <w:r>
        <w:rPr>
          <w:rFonts w:ascii="华文宋体" w:hAnsi="华文宋体" w:eastAsia="华文宋体"/>
          <w:b/>
          <w:bCs/>
          <w:color w:val="000000"/>
        </w:rPr>
        <w:t>所以</w:t>
      </w:r>
      <w:r>
        <w:rPr>
          <w:rFonts w:ascii="华文宋体" w:hAnsi="华文宋体" w:cs="Lucida Sans" w:eastAsia="华文宋体"/>
          <w:color w:val="7F7F7F"/>
          <w:kern w:val="2"/>
          <w:sz w:val="15"/>
          <w:szCs w:val="15"/>
          <w:lang w:val="en-US" w:eastAsia="zh-CN" w:bidi="hi-IN"/>
        </w:rPr>
        <w:t>（用此、用来）</w:t>
      </w:r>
      <w:r>
        <w:rPr>
          <w:rFonts w:ascii="华文宋体" w:hAnsi="华文宋体" w:eastAsia="华文宋体"/>
          <w:color w:val="000000"/>
        </w:rPr>
        <w:t>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有共同的谋划且关系亲密，那是因为合作双方都能获得成功（比如盟友共同抗敌）；有相同的目标却关系疏远，那是因为合作会导致一方受损（比如两个皇子争皇位，无法共存）；有共同的威胁而互相亲近，那是因为双方都面临危险（比如战国六国合纵抗秦）；有共同的威胁却不相合作，那是因为一方觉得自己受损更小（比如某些国家面对强敌时选择投降自保）。所以双方交往得到增益则会相互亲近，双方交往受到损害则会导致疏远。其方法可行，这个用来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仁德的人不看重财货，不能用利益去诱惑他，可以让他出资资助；勇敢的人轻视危难，不能用祸患去恐吓他，可以让他去据守危险之地；智慧的人通达于方法，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事情）遵循“隐而不露”，愚蠢之人（谋划事情）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6958"/>
      <w:bookmarkStart w:id="83" w:name="_Toc153345591"/>
      <w:bookmarkStart w:id="84" w:name="_Toc30321438"/>
      <w:bookmarkStart w:id="85" w:name="_Toc30321392"/>
      <w:bookmarkStart w:id="86" w:name="_Toc47593236"/>
      <w:bookmarkStart w:id="87" w:name="_Toc662898066"/>
      <w:bookmarkStart w:id="88" w:name="_Toc720541667"/>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决策事情，必定依托于当下的疑虑；好的决策能带来幸福，不好的决策会带来祸患。好的决策一定要诱导对方讲出其内心的真实想法，最终让我们没有迷惑和认知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行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令人摸不透真意）；再配合平素的交往以及关键时刻的应变，此四者要微妙地加以综合运用。于是用过去的经验作为推测，来验证未来事情的发展趋势，再参考平素的案例，只要可行便做出决策。为王公大人谋划事情，有危险但事情成功后能获得美好名声的事情，只要可行便做出决策；不用耗费大的气力和精力就容易获得成功的事情，只要可行便做出决策；有些事情虽然费力勤苦，然而却不得已得这样干的事情，只要可行便做出决策；能排除忧患的事情，只要可行便做出决策；能带来幸福的事情，只要可行便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所以这决策实情、平定疑难，是处理一切事情的基础。以公正（的态度）来治理乱世，决定着事业的成败，是难办的。所以古代帝王才采用蓍草和龟甲占卜的方式，以帮助自己做决策。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153345592"/>
      <w:bookmarkStart w:id="91" w:name="_Toc1459315182"/>
      <w:bookmarkStart w:id="92" w:name="_Toc22821"/>
      <w:bookmarkStart w:id="93" w:name="_Toc30321439"/>
      <w:bookmarkStart w:id="94" w:name="_Toc47593237"/>
      <w:bookmarkStart w:id="95" w:name="_Toc30321393"/>
      <w:bookmarkStart w:id="96" w:name="_Toc94000705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安详、从容、公正、宁静，柔和有礼且注重安定自身，和善地与人交往并且不同人相争，空虚思想、平和志向，对待事情能够公正。以上帮助君主居君位！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就会丧失主见，（抗拒）拒绝就会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朝廷）内部和外界信息渠道闭塞不通，（听不到真实的声音，看不到真实的情况）怎么知道从何处打开局面呢？不善于“开启”（发表意见、任用人材）和“闭藏”（隐藏意图、退隐观察），就不能看见问题的根源。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一为看得远，二为听得远，三为具备明察事物的能力。能够了解千里之外、隐微之中的情况，这就叫做洞悉（清楚地知道）。天下的奸邪，莫不暗自变更意图不轨的想法。以上帮助君主参验天下！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实情；名分和实际相当则天下大治，不相当则天下大乱。所以说：名分和实际相当则产生于实际，实际产生于道理，道理产生于名分和实际的得法（合宜），得法产生于和谐，和谐产生于相当。以上帮助君主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30321394"/>
      <w:bookmarkStart w:id="101" w:name="_Toc153345593"/>
      <w:bookmarkStart w:id="102" w:name="_Toc30321440"/>
      <w:bookmarkStart w:id="103" w:name="_Toc47593238"/>
      <w:bookmarkStart w:id="104" w:name="_Toc2528"/>
      <w:bookmarkStart w:id="105" w:name="_Toc1194849932"/>
      <w:bookmarkStart w:id="106" w:name="_Toc250844796"/>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转丸的运用，圣智之人隐逸之。大概是因为人情事理、顺境逆境的变化，将聪慧灵巧寄托于无形。然而想要改变的人多，成功克服困难的人很少，所以圣智之人没有话说了。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（对事情有益；成；发挥作用）</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（成，就也）</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形势如果不能发挥作用，等待并畜养一段时间后再成就；时机没有满足，安静地加以等候。积蓄恩德去营造形势，如同执形可以驱影，动必有应，行必有随，转丸如同戏耍一样。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阴阳的丸转，损益的改变，顺应（规律）转化作为运用。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178546249"/>
      <w:bookmarkStart w:id="110" w:name="_Toc30321441"/>
      <w:bookmarkStart w:id="111" w:name="_Toc47593239"/>
      <w:bookmarkStart w:id="112" w:name="_Toc153345594"/>
      <w:bookmarkStart w:id="113" w:name="_Toc2240"/>
      <w:bookmarkStart w:id="114" w:name="_Toc30321395"/>
      <w:bookmarkStart w:id="115" w:name="_Toc13422993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所谓乱，就是条理失调，诸事颠倒，毁了形势困住了自身。却，就是消解约束，化解并消融阻塞，急迫之时的运用。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变化起来无止境，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人，被形象所迷，被道理所惑，被表面所蔽，被内里所困；（看透）表象靠视觉，（通达）条理靠知觉。通过欺瞒的的手段制造视听、用动听的言语和伪善的面目取悦于人、各种利益托付，事理无非是奔走钻营。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表面和内里，采取诚信去营造形势，如同蔺相如完璧归赵的做法一样，这是让形势由紧张回到缓和的策划。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53345595_副本_1_副本_1"/>
      <w:bookmarkStart w:id="118" w:name="_Toc1406991709_副本_1"/>
      <w:bookmarkStart w:id="119" w:name="_Toc1495_副本_1"/>
      <w:bookmarkStart w:id="120" w:name="_Toc47593240_副本_1_副本_1"/>
      <w:bookmarkStart w:id="121" w:name="_Toc30321449_副本_1"/>
      <w:bookmarkStart w:id="122" w:name="_Toc30321403_副本_1"/>
      <w:bookmarkStart w:id="123" w:name="_Toc1482718402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w:t>
      </w:r>
      <w:r>
        <w:rPr>
          <w:rFonts w:ascii="华文宋体" w:hAnsi="华文宋体" w:eastAsia="华文宋体"/>
          <w:b/>
          <w:bCs/>
        </w:rPr>
        <w:t>復</w:t>
      </w:r>
      <w:r>
        <w:rPr>
          <w:rFonts w:ascii="华文宋体" w:hAnsi="华文宋体" w:cs="Lucida Sans" w:eastAsia="华文宋体"/>
          <w:color w:val="7F7F7F"/>
          <w:kern w:val="2"/>
          <w:sz w:val="15"/>
          <w:szCs w:val="13"/>
          <w:lang w:val="en-US" w:eastAsia="zh-CN" w:bidi="hi-IN"/>
        </w:rPr>
        <w:t>（表示反问或加强语气）</w:t>
      </w:r>
      <w:r>
        <w:rPr>
          <w:rFonts w:ascii="华文宋体" w:hAnsi="华文宋体" w:eastAsia="华文宋体"/>
        </w:rPr>
        <w:t>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53345596_副本_1_副本_1"/>
      <w:bookmarkStart w:id="126" w:name="_Toc47593241_副本_1_副本_1"/>
      <w:bookmarkStart w:id="127" w:name="_Toc30321404_副本_1"/>
      <w:bookmarkStart w:id="128" w:name="_Toc17765_副本_1"/>
      <w:bookmarkStart w:id="129" w:name="_Toc76662972_副本_1"/>
      <w:bookmarkStart w:id="130" w:name="_Toc30321450_副本_1"/>
      <w:bookmarkStart w:id="131" w:name="_Toc17818453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要依据（人性）规律；而拯救他人于拘泥固执的人，能够豢养、驱使小人。士人在世道动乱、时局危急时，或许应当凭借智慧免遭坑害；或许应当戕害能够直言者；或许应当放弃道德并成为一方雄主；或许应当压制和拘系有罪者；或许应当在忧惧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（却，节欲也。自我克制冲动或欲望 ）</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那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克制地说话”，要能“捕捉能人异士的心”，要能“谨守做人的道义”。《本经阴符七术》记载的，记载了规律和方法，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是说像占卦时看到卦爻就能生出事物的状态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不能够从体态神情去判断他们的内心世界。如果是遇到这种，就赶快隐藏起自己的真实情况、堵塞空隙后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是说人说话的声音和语气不投合，彼此间的感情就不会连接。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语气不和、声音不协调啊。</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那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暗中观察、窥伺他人的短处。所以话说多了必然会有若干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w:t>
      </w:r>
      <w:r>
        <w:rPr>
          <w:rFonts w:ascii="华文宋体" w:hAnsi="华文宋体" w:eastAsia="华文宋体"/>
          <w:b/>
          <w:bCs/>
        </w:rPr>
        <w:t>伎术</w:t>
      </w:r>
      <w:r>
        <w:rPr>
          <w:rFonts w:ascii="华文宋体" w:hAnsi="华文宋体" w:cs="Lucida Sans" w:eastAsia="华文宋体"/>
          <w:color w:val="7F7F7F"/>
          <w:kern w:val="2"/>
          <w:sz w:val="15"/>
          <w:szCs w:val="13"/>
          <w:lang w:val="en-US" w:eastAsia="zh-CN" w:bidi="hi-IN"/>
        </w:rPr>
        <w:t>（技艺和方术）</w:t>
      </w:r>
      <w:r>
        <w:rPr>
          <w:rFonts w:ascii="华文宋体" w:hAnsi="华文宋体" w:eastAsia="华文宋体"/>
        </w:rPr>
        <w:t>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技艺和方术的人，就要为他们扩大宣传，使他的名声传到远方。效仿并检验他的方法，然后惊叹他的奇才异能，对方就会与自己心连心。在别人面前摹仿他，以他过去的成功案例作为证据，任意地拿一两件出来摆在别人面前，他悟到后就会更加诚心地归附于自己。遇到放纵酒色的人，就要对他采用一些手段；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47593242"/>
      <w:bookmarkStart w:id="134" w:name="_Toc715452631"/>
      <w:bookmarkStart w:id="135" w:name="_Toc153345597"/>
      <w:bookmarkStart w:id="136" w:name="_Toc9755"/>
      <w:bookmarkStart w:id="137" w:name="_Toc30321442"/>
      <w:bookmarkStart w:id="138" w:name="_Toc30321396"/>
      <w:bookmarkStart w:id="139" w:name="_Toc1773995429"/>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当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153345598"/>
      <w:bookmarkStart w:id="142" w:name="_Toc30321397"/>
      <w:bookmarkStart w:id="143" w:name="_Toc47593243"/>
      <w:bookmarkStart w:id="144" w:name="_Toc30321443"/>
      <w:bookmarkStart w:id="145" w:name="_Toc22664"/>
      <w:bookmarkStart w:id="146" w:name="_Toc192592109"/>
      <w:bookmarkStart w:id="147" w:name="_Toc841495716"/>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元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空虚；志向丧失且心意空虚，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2022631712"/>
      <w:bookmarkStart w:id="150" w:name="_Toc30321398"/>
      <w:bookmarkStart w:id="151" w:name="_Toc22646"/>
      <w:bookmarkStart w:id="152" w:name="_Toc47593244"/>
      <w:bookmarkStart w:id="153" w:name="_Toc153345599"/>
      <w:bookmarkStart w:id="154" w:name="_Toc30321444"/>
      <w:bookmarkStart w:id="155" w:name="_Toc534766007"/>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cs="Lucida Sans" w:eastAsia="华文宋体"/>
          <w:color w:val="auto"/>
          <w:kern w:val="2"/>
          <w:sz w:val="24"/>
          <w:szCs w:val="24"/>
          <w:lang w:val="en-US" w:eastAsia="zh-CN" w:bidi="hi-IN"/>
        </w:rPr>
        <w:t>、</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知晓万物的创造和演化；看见阴阳的终而复始，推究人事的政治和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47593245"/>
      <w:bookmarkStart w:id="158" w:name="_Toc1490294709"/>
      <w:bookmarkStart w:id="159" w:name="_Toc12026"/>
      <w:bookmarkStart w:id="160" w:name="_Toc30321445"/>
      <w:bookmarkStart w:id="161" w:name="_Toc30321399"/>
      <w:bookmarkStart w:id="162" w:name="_Toc153345600"/>
      <w:bookmarkStart w:id="163" w:name="_Toc1710013847"/>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现的。详究于彼此的一唱一和，通过隐而不现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知道稳固和充实自己的，能自我修养；谦让己身的，能教养他人。所以能够做到精神长存而进击之势毫不显现，才是可为的形势。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30321446"/>
      <w:bookmarkStart w:id="166" w:name="_Toc47593246"/>
      <w:bookmarkStart w:id="167" w:name="_Toc30321400"/>
      <w:bookmarkStart w:id="168" w:name="_Toc153345601"/>
      <w:bookmarkStart w:id="169" w:name="_Toc1172803545"/>
      <w:bookmarkStart w:id="170" w:name="_Toc5302"/>
      <w:bookmarkStart w:id="171" w:name="_Toc1470570454"/>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w:t>
      </w:r>
      <w:r>
        <w:rPr>
          <w:rFonts w:ascii="华文宋体" w:hAnsi="华文宋体" w:eastAsia="华文宋体"/>
          <w:b/>
          <w:bCs/>
        </w:rPr>
        <w:t>推</w:t>
      </w:r>
      <w:r>
        <w:rPr>
          <w:rFonts w:ascii="华文宋体" w:hAnsi="华文宋体" w:cs="Lucida Sans" w:eastAsia="华文宋体"/>
          <w:color w:val="7F7F7F"/>
          <w:kern w:val="2"/>
          <w:sz w:val="15"/>
          <w:szCs w:val="13"/>
          <w:lang w:val="en-US" w:eastAsia="zh-CN" w:bidi="hi-IN"/>
        </w:rPr>
        <w:t>（顺著迁移）</w:t>
      </w:r>
      <w:r>
        <w:rPr>
          <w:rFonts w:ascii="华文宋体" w:hAnsi="华文宋体" w:eastAsia="华文宋体"/>
        </w:rPr>
        <w:t>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（计算，推测）</w:t>
      </w:r>
      <w:r>
        <w:rPr>
          <w:rFonts w:ascii="华文宋体" w:hAnsi="华文宋体" w:eastAsia="华文宋体"/>
          <w:b/>
          <w:bCs/>
        </w:rPr>
        <w:t>数</w:t>
      </w:r>
      <w:r>
        <w:rPr>
          <w:rFonts w:ascii="华文宋体" w:hAnsi="华文宋体" w:eastAsia="华文宋体"/>
          <w:color w:val="7F7F7F"/>
          <w:sz w:val="15"/>
          <w:szCs w:val="13"/>
        </w:rPr>
        <w:t>（道数，方法）</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提示）散除势力的人，思想空虚且志向外溢、意愿衰弱且威力丧失、精力和精神不专一，其表现在外的言语就会多变。那要观察对方的意志再为之推测出方法，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30321401"/>
      <w:bookmarkStart w:id="174" w:name="_Toc1880000984"/>
      <w:bookmarkStart w:id="175" w:name="_Toc47593247"/>
      <w:bookmarkStart w:id="176" w:name="_Toc153345602"/>
      <w:bookmarkStart w:id="177" w:name="_Toc8986"/>
      <w:bookmarkStart w:id="178" w:name="_Toc30321447"/>
      <w:bookmarkStart w:id="179" w:name="_Toc1210226060"/>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（因而、所以）</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转为圆通，（将产生）无穷的计谋。无穷（地产生）计谋，必须具有圣智之人的思想，以推究出不可估量的智慧，因而通达思想的方法，因而精神引导混沌为“一”。</w:t>
      </w:r>
    </w:p>
    <w:p>
      <w:pPr>
        <w:pStyle w:val="Normal"/>
        <w:ind w:firstLine="420"/>
        <w:rPr>
          <w:rFonts w:ascii="华文宋体" w:hAnsi="华文宋体" w:eastAsia="华文宋体"/>
        </w:rPr>
      </w:pPr>
      <w:r>
        <w:rPr>
          <w:rFonts w:ascii="华文宋体" w:hAnsi="华文宋体" w:eastAsia="华文宋体"/>
        </w:rPr>
        <w:t>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用变化的角度讨论万物，说话的意思就会无穷。智慧、战略、计策、谋划，具有各自的形体容貌，有的圆通，有的方正；有的运用阴，有的运用阳；有的给人带来吉祥，有的给人带来不祥，（因为）事情的类别不一样。所以圣智之人怀着这个思路进行运用，转为圆通才能谋求与事情类别相符合。那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天地是广阔无边的，人世间的事是无穷的，各以其特点分成不同的类别；看清其计谋之后，必能推知其最终的吉凶成败。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转为圆通才能采取方正。圆通，是为了话语投机；方正，是为了措置事情。运转变化，是为了观察对方的计谋；接触外物，是为了观察对方进退的意愿。彼此都看见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30321448"/>
      <w:bookmarkStart w:id="182" w:name="_Toc958547277"/>
      <w:bookmarkStart w:id="183" w:name="_Toc1750"/>
      <w:bookmarkStart w:id="184" w:name="_Toc47593248"/>
      <w:bookmarkStart w:id="185" w:name="_Toc30321402"/>
      <w:bookmarkStart w:id="186" w:name="_Toc153345603"/>
      <w:bookmarkStart w:id="187" w:name="_Toc964853272"/>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（问）</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待有所收获，询问过程中考察言辞与事情是否相符合。随机应变，是为了解情况；排除干扰，是为了方便行事。或排除干扰，或随机应变。抉择时发现有不可行的，圣智之人不为之言语。所以有智慧的人不会光顾着自己说话而忽略他人的言辞，因而能够做到言辞不繁乱并且思想不空虚，志向不紊乱并且意愿不偏邪。</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其圆通不能施行，使其方正不通禁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所以善于排除干扰和随机应变的人，（应对事情）好像挖开千丈高的堤水、从万丈的谿谷向下滚动圆石。而能够做到这个的，是其所造就的形势使人不得不如此啊！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overflowPunct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overflowPunct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overflowPunct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overflowPunct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overflowPunct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overflowPunct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overflowPunct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overflowPunct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overflowPunct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overflowPunct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943</TotalTime>
  <Application>LibreOffice/26.2.1.2$Windows_X86_64 LibreOffice_project/620$Build-2</Application>
  <AppVersion>15.0000</AppVersion>
  <Pages>36</Pages>
  <Words>36573</Words>
  <Characters>36673</Characters>
  <CharactersWithSpaces>36732</CharactersWithSpaces>
  <Paragraphs>300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2026-07-11T20:43:29Z</dcterms:modified>
  <cp:revision>560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