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rFonts w:ascii="华文宋体" w:hAnsi="华文宋体" w:eastAsia="华文宋体" w:cs="新宋体"/>
          <w:b/>
          <w:bCs/>
          <w:sz w:val="32"/>
          <w:szCs w:val="32"/>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故先王之道阴。言有之曰：“天地之化，在高与深；圣人之制道，在隐与匿。”非独忠信、仁义也，中正而已矣；道理达于此之义，则可与语。由能得此，则可以彀远近之诱。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2"/>
            </w:rPr>
            <w:instrText xml:space="preserve"> TOC \o "1-3" \h</w:instrText>
          </w:r>
          <w:r>
            <w:rPr>
              <w:rStyle w:val="Style12"/>
            </w:rPr>
            <w:fldChar w:fldCharType="separate"/>
          </w:r>
          <w:hyperlink w:anchor="__RefHeading___Toc2308_1773610119" w:tooltip="捭阖">
            <w:r>
              <w:rPr>
                <w:rStyle w:val="Style12"/>
              </w:rPr>
              <w:t>捭阖</w:t>
            </w:r>
            <w:r>
              <w:rPr>
                <w:rStyle w:val="Style12"/>
              </w:rPr>
              <w:tab/>
              <w:t>3</w:t>
            </w:r>
          </w:hyperlink>
        </w:p>
        <w:p>
          <w:pPr>
            <w:pStyle w:val="TOC1"/>
            <w:tabs>
              <w:tab w:val="clear" w:pos="9740"/>
              <w:tab w:val="right" w:pos="9739" w:leader="dot"/>
            </w:tabs>
            <w:rPr/>
          </w:pPr>
          <w:hyperlink w:anchor="__RefHeading___Toc2310_1773610119" w:tooltip="反应">
            <w:r>
              <w:rPr>
                <w:rStyle w:val="Style12"/>
              </w:rPr>
              <w:t>反应</w:t>
            </w:r>
            <w:r>
              <w:rPr>
                <w:rStyle w:val="Style12"/>
              </w:rPr>
              <w:tab/>
              <w:t>5</w:t>
            </w:r>
          </w:hyperlink>
        </w:p>
        <w:p>
          <w:pPr>
            <w:pStyle w:val="TOC1"/>
            <w:tabs>
              <w:tab w:val="clear" w:pos="9740"/>
              <w:tab w:val="right" w:pos="9739" w:leader="dot"/>
            </w:tabs>
            <w:rPr/>
          </w:pPr>
          <w:hyperlink w:anchor="__RefHeading___Toc2312_1773610119" w:tooltip="内楗">
            <w:r>
              <w:rPr>
                <w:rStyle w:val="Style12"/>
              </w:rPr>
              <w:t>内楗</w:t>
            </w:r>
            <w:r>
              <w:rPr>
                <w:rStyle w:val="Style12"/>
              </w:rPr>
              <w:tab/>
              <w:t>7</w:t>
            </w:r>
          </w:hyperlink>
        </w:p>
        <w:p>
          <w:pPr>
            <w:pStyle w:val="TOC1"/>
            <w:tabs>
              <w:tab w:val="clear" w:pos="9740"/>
              <w:tab w:val="right" w:pos="9739" w:leader="dot"/>
            </w:tabs>
            <w:rPr/>
          </w:pPr>
          <w:hyperlink w:anchor="__RefHeading___Toc2314_1773610119" w:tooltip="抵巇">
            <w:r>
              <w:rPr>
                <w:rStyle w:val="Style12"/>
              </w:rPr>
              <w:t>抵巇</w:t>
            </w:r>
            <w:r>
              <w:rPr>
                <w:rStyle w:val="Style12"/>
              </w:rPr>
              <w:tab/>
              <w:t>9</w:t>
            </w:r>
          </w:hyperlink>
        </w:p>
        <w:p>
          <w:pPr>
            <w:pStyle w:val="TOC1"/>
            <w:tabs>
              <w:tab w:val="clear" w:pos="9740"/>
              <w:tab w:val="right" w:pos="9739" w:leader="dot"/>
            </w:tabs>
            <w:rPr/>
          </w:pPr>
          <w:hyperlink w:anchor="__RefHeading___Toc2316_1773610119" w:tooltip="飞箝">
            <w:r>
              <w:rPr>
                <w:rStyle w:val="Style12"/>
              </w:rPr>
              <w:t>飞箝</w:t>
            </w:r>
            <w:r>
              <w:rPr>
                <w:rStyle w:val="Style12"/>
              </w:rPr>
              <w:tab/>
              <w:t>10</w:t>
            </w:r>
          </w:hyperlink>
        </w:p>
        <w:p>
          <w:pPr>
            <w:pStyle w:val="TOC1"/>
            <w:tabs>
              <w:tab w:val="clear" w:pos="9740"/>
              <w:tab w:val="right" w:pos="9739" w:leader="dot"/>
            </w:tabs>
            <w:rPr/>
          </w:pPr>
          <w:hyperlink w:anchor="__RefHeading___Toc2318_1773610119" w:tooltip="忤合">
            <w:r>
              <w:rPr>
                <w:rStyle w:val="Style12"/>
              </w:rPr>
              <w:t>忤合</w:t>
            </w:r>
            <w:r>
              <w:rPr>
                <w:rStyle w:val="Style12"/>
              </w:rPr>
              <w:tab/>
              <w:t>12</w:t>
            </w:r>
          </w:hyperlink>
        </w:p>
        <w:p>
          <w:pPr>
            <w:pStyle w:val="TOC1"/>
            <w:tabs>
              <w:tab w:val="clear" w:pos="9740"/>
              <w:tab w:val="right" w:pos="9739" w:leader="dot"/>
            </w:tabs>
            <w:rPr/>
          </w:pPr>
          <w:hyperlink w:anchor="__RefHeading___Toc2320_1773610119" w:tooltip="揣篇">
            <w:r>
              <w:rPr>
                <w:rStyle w:val="Style12"/>
              </w:rPr>
              <w:t>揣篇</w:t>
            </w:r>
            <w:r>
              <w:rPr>
                <w:rStyle w:val="Style12"/>
              </w:rPr>
              <w:tab/>
              <w:t>13</w:t>
            </w:r>
          </w:hyperlink>
        </w:p>
        <w:p>
          <w:pPr>
            <w:pStyle w:val="TOC1"/>
            <w:tabs>
              <w:tab w:val="clear" w:pos="9740"/>
              <w:tab w:val="right" w:pos="9739" w:leader="dot"/>
            </w:tabs>
            <w:rPr/>
          </w:pPr>
          <w:hyperlink w:anchor="__RefHeading___Toc2322_1773610119" w:tooltip="摩篇">
            <w:r>
              <w:rPr>
                <w:rStyle w:val="Style12"/>
              </w:rPr>
              <w:t>摩篇</w:t>
            </w:r>
            <w:r>
              <w:rPr>
                <w:rStyle w:val="Style12"/>
              </w:rPr>
              <w:tab/>
              <w:t>15</w:t>
            </w:r>
          </w:hyperlink>
        </w:p>
        <w:p>
          <w:pPr>
            <w:pStyle w:val="TOC1"/>
            <w:tabs>
              <w:tab w:val="clear" w:pos="9740"/>
              <w:tab w:val="right" w:pos="9739" w:leader="dot"/>
            </w:tabs>
            <w:rPr/>
          </w:pPr>
          <w:hyperlink w:anchor="__RefHeading___Toc2324_1773610119" w:tooltip="权篇">
            <w:r>
              <w:rPr>
                <w:rStyle w:val="Style12"/>
              </w:rPr>
              <w:t>权篇</w:t>
            </w:r>
            <w:r>
              <w:rPr>
                <w:rStyle w:val="Style12"/>
              </w:rPr>
              <w:tab/>
              <w:t>16</w:t>
            </w:r>
          </w:hyperlink>
        </w:p>
        <w:p>
          <w:pPr>
            <w:pStyle w:val="TOC1"/>
            <w:tabs>
              <w:tab w:val="clear" w:pos="9740"/>
              <w:tab w:val="right" w:pos="9739" w:leader="dot"/>
            </w:tabs>
            <w:rPr/>
          </w:pPr>
          <w:hyperlink w:anchor="__RefHeading___Toc2326_1773610119" w:tooltip="谋篇">
            <w:r>
              <w:rPr>
                <w:rStyle w:val="Style12"/>
              </w:rPr>
              <w:t>谋篇</w:t>
            </w:r>
            <w:r>
              <w:rPr>
                <w:rStyle w:val="Style12"/>
              </w:rPr>
              <w:tab/>
              <w:t>18</w:t>
            </w:r>
          </w:hyperlink>
        </w:p>
        <w:p>
          <w:pPr>
            <w:pStyle w:val="TOC1"/>
            <w:tabs>
              <w:tab w:val="clear" w:pos="9740"/>
              <w:tab w:val="right" w:pos="9739" w:leader="dot"/>
            </w:tabs>
            <w:rPr/>
          </w:pPr>
          <w:hyperlink w:anchor="__RefHeading___Toc2328_1773610119" w:tooltip="决篇">
            <w:r>
              <w:rPr>
                <w:rStyle w:val="Style12"/>
              </w:rPr>
              <w:t>决篇</w:t>
            </w:r>
            <w:r>
              <w:rPr>
                <w:rStyle w:val="Style12"/>
              </w:rPr>
              <w:tab/>
              <w:t>21</w:t>
            </w:r>
          </w:hyperlink>
        </w:p>
        <w:p>
          <w:pPr>
            <w:pStyle w:val="TOC1"/>
            <w:tabs>
              <w:tab w:val="clear" w:pos="9740"/>
              <w:tab w:val="right" w:pos="9739" w:leader="dot"/>
            </w:tabs>
            <w:rPr/>
          </w:pPr>
          <w:hyperlink w:anchor="__RefHeading___Toc2330_1773610119" w:tooltip="符言">
            <w:r>
              <w:rPr>
                <w:rStyle w:val="Style12"/>
              </w:rPr>
              <w:t>符言</w:t>
            </w:r>
            <w:r>
              <w:rPr>
                <w:rStyle w:val="Style12"/>
              </w:rPr>
              <w:tab/>
              <w:t>22</w:t>
            </w:r>
          </w:hyperlink>
        </w:p>
        <w:p>
          <w:pPr>
            <w:pStyle w:val="TOC1"/>
            <w:tabs>
              <w:tab w:val="clear" w:pos="9740"/>
              <w:tab w:val="right" w:pos="9739" w:leader="dot"/>
            </w:tabs>
            <w:rPr/>
          </w:pPr>
          <w:hyperlink w:anchor="__RefHeading___Toc2332_1773610119" w:tooltip="转丸">
            <w:r>
              <w:rPr>
                <w:rStyle w:val="Style12"/>
              </w:rPr>
              <w:t>转丸</w:t>
            </w:r>
            <w:r>
              <w:rPr>
                <w:rStyle w:val="Style12"/>
              </w:rPr>
              <w:tab/>
              <w:t>23</w:t>
            </w:r>
          </w:hyperlink>
        </w:p>
        <w:p>
          <w:pPr>
            <w:pStyle w:val="TOC1"/>
            <w:tabs>
              <w:tab w:val="clear" w:pos="9740"/>
              <w:tab w:val="right" w:pos="9739" w:leader="dot"/>
            </w:tabs>
            <w:rPr/>
          </w:pPr>
          <w:hyperlink w:anchor="__RefHeading___Toc2334_1773610119" w:tooltip="却乱">
            <w:r>
              <w:rPr>
                <w:rStyle w:val="Style12"/>
              </w:rPr>
              <w:t>却乱</w:t>
            </w:r>
            <w:r>
              <w:rPr>
                <w:rStyle w:val="Style12"/>
              </w:rPr>
              <w:tab/>
              <w:t>25</w:t>
            </w:r>
          </w:hyperlink>
        </w:p>
        <w:p>
          <w:pPr>
            <w:pStyle w:val="TOC1"/>
            <w:tabs>
              <w:tab w:val="clear" w:pos="9740"/>
              <w:tab w:val="right" w:pos="9739" w:leader="dot"/>
            </w:tabs>
            <w:rPr/>
          </w:pPr>
          <w:hyperlink w:anchor="__RefHeading___Toc1620_2803666824_%25E5%" w:tooltip="持枢">
            <w:r>
              <w:rPr>
                <w:rStyle w:val="Style12"/>
              </w:rPr>
              <w:t>持枢</w:t>
            </w:r>
            <w:r>
              <w:rPr>
                <w:rStyle w:val="Style12"/>
              </w:rPr>
              <w:tab/>
              <w:t>26</w:t>
            </w:r>
          </w:hyperlink>
        </w:p>
        <w:p>
          <w:pPr>
            <w:pStyle w:val="TOC1"/>
            <w:tabs>
              <w:tab w:val="clear" w:pos="9740"/>
              <w:tab w:val="right" w:pos="9739" w:leader="dot"/>
            </w:tabs>
            <w:rPr/>
          </w:pPr>
          <w:hyperlink w:anchor="__RefHeading___Toc1622_2803666824_%25E5%" w:tooltip="中经">
            <w:r>
              <w:rPr>
                <w:rStyle w:val="Style12"/>
              </w:rPr>
              <w:t>中经</w:t>
            </w:r>
            <w:r>
              <w:rPr>
                <w:rStyle w:val="Style12"/>
              </w:rPr>
              <w:tab/>
              <w:t>26</w:t>
            </w:r>
          </w:hyperlink>
        </w:p>
        <w:p>
          <w:pPr>
            <w:pStyle w:val="TOC1"/>
            <w:tabs>
              <w:tab w:val="clear" w:pos="9740"/>
              <w:tab w:val="right" w:pos="9739" w:leader="dot"/>
            </w:tabs>
            <w:rPr/>
          </w:pPr>
          <w:hyperlink w:anchor="__RefHeading___Toc2336_1773610119" w:tooltip="盛神法五龙">
            <w:r>
              <w:rPr>
                <w:rStyle w:val="Style12"/>
              </w:rPr>
              <w:t>盛神法五龙</w:t>
            </w:r>
            <w:r>
              <w:rPr>
                <w:rStyle w:val="Style12"/>
              </w:rPr>
              <w:tab/>
              <w:t>29</w:t>
            </w:r>
          </w:hyperlink>
        </w:p>
        <w:p>
          <w:pPr>
            <w:pStyle w:val="TOC1"/>
            <w:tabs>
              <w:tab w:val="clear" w:pos="9740"/>
              <w:tab w:val="right" w:pos="9739" w:leader="dot"/>
            </w:tabs>
            <w:rPr/>
          </w:pPr>
          <w:hyperlink w:anchor="__RefHeading___Toc2338_1773610119" w:tooltip="养志法灵龟">
            <w:r>
              <w:rPr>
                <w:rStyle w:val="Style12"/>
              </w:rPr>
              <w:t>养志法灵龟</w:t>
            </w:r>
            <w:r>
              <w:rPr>
                <w:rStyle w:val="Style12"/>
              </w:rPr>
              <w:tab/>
              <w:t>30</w:t>
            </w:r>
          </w:hyperlink>
        </w:p>
        <w:p>
          <w:pPr>
            <w:pStyle w:val="TOC1"/>
            <w:tabs>
              <w:tab w:val="clear" w:pos="9740"/>
              <w:tab w:val="right" w:pos="9739" w:leader="dot"/>
            </w:tabs>
            <w:rPr/>
          </w:pPr>
          <w:hyperlink w:anchor="__RefHeading___Toc2340_1773610119" w:tooltip="实意法螣蛇">
            <w:r>
              <w:rPr>
                <w:rStyle w:val="Style12"/>
              </w:rPr>
              <w:t>实意法螣蛇</w:t>
            </w:r>
            <w:r>
              <w:rPr>
                <w:rStyle w:val="Style12"/>
              </w:rPr>
              <w:tab/>
              <w:t>31</w:t>
            </w:r>
          </w:hyperlink>
        </w:p>
        <w:p>
          <w:pPr>
            <w:pStyle w:val="TOC1"/>
            <w:tabs>
              <w:tab w:val="clear" w:pos="9740"/>
              <w:tab w:val="right" w:pos="9739" w:leader="dot"/>
            </w:tabs>
            <w:rPr/>
          </w:pPr>
          <w:hyperlink w:anchor="__RefHeading___Toc2342_1773610119" w:tooltip="分威法伏熊">
            <w:r>
              <w:rPr>
                <w:rStyle w:val="Style12"/>
              </w:rPr>
              <w:t>分威法伏熊</w:t>
            </w:r>
            <w:r>
              <w:rPr>
                <w:rStyle w:val="Style12"/>
              </w:rPr>
              <w:tab/>
              <w:t>32</w:t>
            </w:r>
          </w:hyperlink>
        </w:p>
        <w:p>
          <w:pPr>
            <w:pStyle w:val="TOC1"/>
            <w:tabs>
              <w:tab w:val="clear" w:pos="9740"/>
              <w:tab w:val="right" w:pos="9739" w:leader="dot"/>
            </w:tabs>
            <w:rPr/>
          </w:pPr>
          <w:hyperlink w:anchor="__RefHeading___Toc2344_1773610119" w:tooltip="散势法鸷鸟">
            <w:r>
              <w:rPr>
                <w:rStyle w:val="Style12"/>
              </w:rPr>
              <w:t>散势法鸷鸟</w:t>
            </w:r>
            <w:r>
              <w:rPr>
                <w:rStyle w:val="Style12"/>
              </w:rPr>
              <w:tab/>
              <w:t>33</w:t>
            </w:r>
          </w:hyperlink>
        </w:p>
        <w:p>
          <w:pPr>
            <w:pStyle w:val="TOC1"/>
            <w:tabs>
              <w:tab w:val="clear" w:pos="9740"/>
              <w:tab w:val="right" w:pos="9739" w:leader="dot"/>
            </w:tabs>
            <w:rPr/>
          </w:pPr>
          <w:hyperlink w:anchor="__RefHeading___Toc2346_1773610119" w:tooltip="转圆法猛兽">
            <w:r>
              <w:rPr>
                <w:rStyle w:val="Style12"/>
              </w:rPr>
              <w:t>转圆法猛兽</w:t>
            </w:r>
            <w:r>
              <w:rPr>
                <w:rStyle w:val="Style12"/>
              </w:rPr>
              <w:tab/>
              <w:t>34</w:t>
            </w:r>
          </w:hyperlink>
        </w:p>
        <w:p>
          <w:pPr>
            <w:pStyle w:val="TOC1"/>
            <w:tabs>
              <w:tab w:val="clear" w:pos="9740"/>
              <w:tab w:val="right" w:pos="9739" w:leader="dot"/>
            </w:tabs>
            <w:rPr/>
          </w:pPr>
          <w:hyperlink w:anchor="__RefHeading___Toc2348_1773610119" w:tooltip="损兑法灵蓍">
            <w:r>
              <w:rPr>
                <w:rStyle w:val="Style12"/>
              </w:rPr>
              <w:t>损兑法灵蓍</w:t>
            </w:r>
            <w:r>
              <w:rPr>
                <w:rStyle w:val="Style12"/>
              </w:rPr>
              <w:tab/>
              <w:t>35</w:t>
            </w:r>
          </w:hyperlink>
          <w:r>
            <w:rPr>
              <w:rStyle w:val="Style12"/>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ind w:hanging="0" w:left="0"/>
        <w:jc w:val="center"/>
        <w:rPr>
          <w:rFonts w:ascii="华文宋体" w:hAnsi="华文宋体" w:eastAsia="华文宋体"/>
        </w:rPr>
      </w:pPr>
      <w:bookmarkStart w:id="0" w:name="__RefHeading___Toc2308_1773610119"/>
      <w:bookmarkStart w:id="1" w:name="_Toc1756558214"/>
      <w:bookmarkStart w:id="2" w:name="_Toc11865"/>
      <w:bookmarkStart w:id="3" w:name="_Toc153345581"/>
      <w:bookmarkStart w:id="4" w:name="_Toc30321382"/>
      <w:bookmarkStart w:id="5" w:name="_Toc47593226"/>
      <w:bookmarkStart w:id="6" w:name="_Toc107271697"/>
      <w:bookmarkStart w:id="7" w:name="_Toc30321428"/>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（权宜、变通）</w:t>
      </w:r>
      <w:r>
        <w:rPr>
          <w:rFonts w:ascii="华文宋体" w:hAnsi="华文宋体" w:eastAsia="华文宋体"/>
          <w:color w:val="000000"/>
        </w:rPr>
        <w:t>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考察权宜（变通）并估量才能，比较技巧上谁优谁劣。</w:t>
      </w:r>
    </w:p>
    <w:p>
      <w:pPr>
        <w:pStyle w:val="Normal"/>
        <w:ind w:firstLine="420"/>
        <w:rPr>
          <w:rFonts w:ascii="华文宋体" w:hAnsi="华文宋体" w:eastAsia="华文宋体"/>
        </w:rPr>
      </w:pPr>
      <w:r>
        <w:rPr>
          <w:rFonts w:ascii="华文宋体" w:hAnsi="华文宋体" w:eastAsia="华文宋体"/>
          <w:b/>
          <w:bCs/>
          <w:color w:val="000000"/>
        </w:rPr>
        <w:t>夫</w:t>
      </w:r>
      <w:r>
        <w:rPr>
          <w:rFonts w:ascii="华文宋体" w:hAnsi="华文宋体" w:cs="Lucida Sans" w:eastAsia="华文宋体"/>
          <w:color w:val="7F7F7F"/>
          <w:kern w:val="2"/>
          <w:sz w:val="15"/>
          <w:szCs w:val="15"/>
          <w:lang w:val="en-US" w:eastAsia="zh-CN" w:bidi="hi-IN"/>
        </w:rPr>
        <w:t>（所有的，大家。相当于“凡”）</w:t>
      </w:r>
      <w:r>
        <w:rPr>
          <w:rFonts w:ascii="华文宋体" w:hAnsi="华文宋体" w:eastAsia="华文宋体"/>
          <w:color w:val="000000"/>
        </w:rPr>
        <w:t>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凡贤良与不肖，智慧与愚笨，勇敢和怯懦上有差异的。可以捭，也可以阖；可以擢进，也可以黜退；可以轻视，也可以敬重，要顺应自然规律去主导他们。考察（一个人）是否真具备某种能力或品质，那么要依据其行为；追随并顺应他的喜好与欲望，从而观察他的意志。稍微驳斥一下其言论，捭出真话后再加以反对，以求弄清其实情，重视得其主旨；先“关门”后“开启”，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其同异。离合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（有操守）</w:t>
      </w:r>
      <w:r>
        <w:rPr>
          <w:rFonts w:ascii="华文宋体" w:hAnsi="华文宋体" w:eastAsia="华文宋体"/>
          <w:color w:val="000000"/>
        </w:rPr>
        <w:t>，先从其志。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有的开门展示，有的关门闭藏。开门展示，是为了使对方产生共情；关门闭藏，是为了考察对方的诚意。可行与不可行，需审查清楚对方的计谋，以洞察双方意见相同或不相同的根源。（无论）分开和结合都要有操守，可以先按对方的意志去办。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度数</w:t>
      </w:r>
      <w:r>
        <w:rPr>
          <w:rFonts w:ascii="华文宋体" w:hAnsi="华文宋体" w:eastAsia="华文宋体"/>
          <w:color w:val="7F7F7F"/>
          <w:sz w:val="15"/>
          <w:szCs w:val="15"/>
        </w:rPr>
        <w:t>（计算，推测）</w:t>
      </w:r>
      <w:r>
        <w:rPr>
          <w:rFonts w:ascii="华文宋体" w:hAnsi="华文宋体" w:eastAsia="华文宋体"/>
          <w:color w:val="000000"/>
        </w:rPr>
        <w:t>，圣人因而为之虑。其不</w:t>
      </w:r>
      <w:r>
        <w:rPr>
          <w:rFonts w:ascii="华文宋体" w:hAnsi="华文宋体" w:eastAsia="华文宋体"/>
          <w:b/>
          <w:bCs/>
          <w:color w:val="000000"/>
        </w:rPr>
        <w:t>中</w:t>
      </w:r>
      <w:r>
        <w:rPr>
          <w:rFonts w:ascii="华文宋体" w:hAnsi="华文宋体" w:eastAsia="华文宋体"/>
          <w:color w:val="7F7F7F"/>
          <w:sz w:val="15"/>
          <w:szCs w:val="15"/>
        </w:rPr>
        <w:t>（合于；符合）</w:t>
      </w:r>
      <w:r>
        <w:rPr>
          <w:rFonts w:ascii="华文宋体" w:hAnsi="华文宋体" w:eastAsia="华文宋体"/>
          <w:color w:val="000000"/>
        </w:rPr>
        <w:t>权衡</w:t>
      </w:r>
      <w:r>
        <w:rPr>
          <w:rFonts w:ascii="华文宋体" w:hAnsi="华文宋体" w:eastAsia="华文宋体"/>
          <w:b/>
          <w:color w:val="000000"/>
        </w:rPr>
        <w:t>度数</w:t>
      </w:r>
      <w:r>
        <w:rPr>
          <w:rFonts w:ascii="华文宋体" w:hAnsi="华文宋体" w:eastAsia="华文宋体"/>
          <w:color w:val="7F7F7F"/>
          <w:sz w:val="15"/>
          <w:szCs w:val="15"/>
        </w:rPr>
        <w:t>（测算）</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用捭的人，是为了预料对方的实情；用阖的人，是为了联结对方的真诚。都看明白后，当权衡轻重，然后再为之测度，圣智之人因而为之考虑。当不符合权衡测度时，圣智之人因而只能自行考虑退路了。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w:t>
      </w:r>
      <w:r>
        <w:rPr>
          <w:rFonts w:eastAsia="华文宋体" w:ascii="华文宋体" w:hAnsi="华文宋体"/>
          <w:color w:val="7F7F7F"/>
          <w:sz w:val="15"/>
          <w:szCs w:val="15"/>
        </w:rPr>
        <w:t>nà</w:t>
      </w:r>
      <w:r>
        <w:rPr>
          <w:rFonts w:ascii="华文宋体" w:hAnsi="华文宋体" w:eastAsia="华文宋体"/>
          <w:color w:val="7F7F7F"/>
          <w:sz w:val="15"/>
          <w:szCs w:val="15"/>
        </w:rPr>
        <w:t>，接纳，吸收）</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用捭，有的使其能够暴露出真情实感，有的使其吐露决策被我们吸取；用阖，有的对其进行抑制以便顺利起用他，有的对其进行抑制以便抛弃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关住它，控制它以产生差异。</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当适宜。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运用捭阖之法，要从阴阳两个方面来试探。跟志向高远者（阳）谈论时，以使用上述阳类事物的崇高语言为主；与目光短浅者（阴）谈论时，以使用上述阴类事物的卑下语言为主。以卑下的语言去打动小人，用崇高的语言去打动大人。根据这个方法去游说，就没有试探不出来的真实情感，就没有不听从我们决策的人，就没有不能说服的对象。用捭阖之术可以游说普通的个人，可以游说朝廷的大臣，可以游说请侯国的国君，可以游说周天子。做小事没有内在制约，做大事没有外在阻碍。事情的补益和损害、人的背离和归附、道的背离和返归，都是被阴、阳的变化所控制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 w:name="__RefHeading___Toc2310_1773610119"/>
      <w:bookmarkStart w:id="9" w:name="_Toc867234267"/>
      <w:bookmarkStart w:id="10" w:name="_Toc153345582"/>
      <w:bookmarkStart w:id="11" w:name="_Toc2372"/>
      <w:bookmarkStart w:id="12" w:name="_Toc47593227"/>
      <w:bookmarkStart w:id="13" w:name="_Toc30321429"/>
      <w:bookmarkStart w:id="14" w:name="_Toc30321383"/>
      <w:bookmarkStart w:id="15" w:name="_Toc859951715"/>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，不合于今，反古而求之。事有反而得覆者，圣人之意也，不可不察。</w:t>
      </w:r>
    </w:p>
    <w:p>
      <w:pPr>
        <w:pStyle w:val="Normal"/>
        <w:ind w:firstLine="420"/>
        <w:rPr>
          <w:rFonts w:ascii="华文宋体" w:hAnsi="华文宋体" w:eastAsia="华文宋体"/>
        </w:rPr>
      </w:pPr>
      <w:r>
        <w:rPr>
          <w:rFonts w:ascii="华文宋体" w:hAnsi="华文宋体" w:eastAsia="华文宋体"/>
          <w:color w:val="7F7F7F"/>
          <w:sz w:val="15"/>
          <w:szCs w:val="15"/>
        </w:rPr>
        <w:t>古时候化育万物的人，是与无形而又无处不在的“道”共生的。返回去观察历史，再来验证未来；返回去了解过去，再来了解现在；返回去了解他人，再来了解自我。动与静、虚与实的规律，如果与今天不相符合，就返回历史中去寻求答案。事情能通过反向思考、反复验证而得以查核，这是圣智之人的用心所在，不可不深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。象者象其事，比者比其辞也，以无形求有声；其钓语合事，得人实也。其犹张置网而取兽也，多张其会而</w:t>
      </w:r>
      <w:r>
        <w:rPr>
          <w:rFonts w:ascii="华文宋体" w:hAnsi="华文宋体" w:eastAsia="华文宋体"/>
          <w:b/>
          <w:bCs/>
          <w:color w:val="000000"/>
        </w:rPr>
        <w:t>司</w:t>
      </w:r>
      <w:r>
        <w:rPr>
          <w:rFonts w:ascii="华文宋体" w:hAnsi="华文宋体" w:eastAsia="华文宋体"/>
          <w:color w:val="7F7F7F"/>
          <w:sz w:val="15"/>
          <w:szCs w:val="15"/>
        </w:rPr>
        <w:t>（通“伺”，侦察，观察）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别人侃侃而谈，是动；自己沉默倾听，是静。透过其说的话，听其话语中的用词。如果发现对方说的话中有前后矛盾或不合情理的地方，可通过反驳的方式去追问，从他的反应中必定能探出真情。说话可以摹拟，事情可以譬喻。当有“象”和“比”的手法，那么就要观察其中的意思。所谓“象”，就是以摹拟的方式形容事物，所谓“比”，就是以譬喻的方式表达言辞。通过使用无形的方式去探求别人言辞中的隐含意图，用来“钓”别人的话契合事情原委，就能探得对方的实际情况。这就好像张开网捕野兽一样，多设一些网，聚集在一起等待野兽自投罗网。如果把捕兽的规律用在人事上，一旦方法得当，符合情理，对方必然会自己吐露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其心；见其情，随而牧之。己反往，彼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说话或不亲近我们，就要改变谈话的方式。用“象”的手法来使对方开口，以此走进其心；使他显露内情，随后主导对方。自己在和对方经过这样多次反复之后，说话中有象比，因而确定后面游说的根据。首先自己的言谈举止要十分谨慎，不要轻易暴露自己的意图；其次通过突然发问的方式不给对方任何巧言令色、掩盖事实的机会；然后在谈话过程中不时的反驳对方话语中有前后矛盾或不合情理的地方，以探求内情；最后要不时的采取顺从谈话对手的方式，已查核出导致他话语中出现自相矛盾内容的原因。任何事情像这样进行探究，都可以通过言辞获知内情。圣智之人用这种方法引导愚者或智者，任何事情都毫无疑惑。那善于通过“反听”探查对方的人，通常能够用鬼神莫测的手段来获得内情。他们应变得当，能详尽地主导对方。如果不能详尽主导对方，是因为从对方获得的内情不明了；获得的内情不明了，决定的基础就不稳定。</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这样对方一定有“反应”的言辞，则回过头来倾听。想要听对方讲话，自己反而要先沉默；想让对方膨胀，自己反而要先收敛；想让抬高对方，自己反而要先谦下；想从对方那里有所获取，自己反而要先给予对方好处。想要了解对方的内情，就要善于运用模拟和类比的方法，主导对方的言辞。声音相同，就会互相呼应；事实合理，就会一同返回。</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这就要分辨真伪，了解异同，从而得到内情或诡诈之处。动作、言语、口气与预先确定的会有差异，喜悦与愤怒则由预先确定的来显现其形式，所有这一切都以预先确定的方式作为法则。用“反”寻求查核，然后观察其寄托。那用这种方法，自己要心平气和，以便能听取对方的言辞，考察事情，论说万物，辨别事物性质。即使是从对方言辞里无关紧要的事件中，也可以通过观察细微迹象推断同类事物本质。运用这些方法去探测别人就好像钻到他心中探测一样，可以准确地估计出他的能力，猜测出他的本意。符应不落空，就像螣蛇指示祸福那样准确无误，就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（掌管）</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所以了解他人要从了解自己开始，只有了解自己而后才能了解他人。这互相了解，就像比目鱼相并而行般一丝不差。这显露形态，就像阳光之下显露影子一样。当考察对方的言辞，也会不失毫厘地捕捉到对方的真实意图，就像用磁石取针，用舌头来获取焦骨上的肉一样万无一失。当与人交往时，不露声色；当发现内情时，又快又准。如同阴与阳，圆与方般明显。当对方形迹未显时，我们要用圆通灵活的手法去引导他；当对方形迹已显时，我们就要按照设定好的谋略去应对他。无论是自己进退还是左右他人，都可以用这种方式去掌握。自己不事先确定策略，就不能正确地主导他人，再加上做事没有技巧，是为“忘记真情、丢失规律”。自己首先要审慎并预先确定策略，再以此来主导他人，实施策略不露行迹，让对方摸不透、抓不着我们的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16" w:name="__RefHeading___Toc2312_1773610119"/>
      <w:bookmarkStart w:id="17" w:name="_Toc1908579548"/>
      <w:bookmarkStart w:id="18" w:name="_Toc30321384"/>
      <w:bookmarkStart w:id="19" w:name="_Toc30321430"/>
      <w:bookmarkStart w:id="20" w:name="_Toc153345583"/>
      <w:bookmarkStart w:id="21" w:name="_Toc11519"/>
      <w:bookmarkStart w:id="22" w:name="_Toc47593228"/>
      <w:bookmarkStart w:id="23" w:name="_Toc1644679059"/>
      <w:bookmarkEnd w:id="16"/>
      <w:r>
        <w:rPr>
          <w:rFonts w:ascii="华文宋体" w:hAnsi="华文宋体" w:eastAsia="华文宋体"/>
          <w:b w:val="false"/>
          <w:bCs w:val="false"/>
          <w:color w:val="000000"/>
        </w:rPr>
        <w:t>内</w:t>
      </w:r>
      <w:bookmarkEnd w:id="17"/>
      <w:bookmarkEnd w:id="18"/>
      <w:bookmarkEnd w:id="19"/>
      <w:bookmarkEnd w:id="20"/>
      <w:bookmarkEnd w:id="21"/>
      <w:bookmarkEnd w:id="22"/>
      <w:bookmarkEnd w:id="23"/>
      <w:r>
        <w:rPr>
          <w:rFonts w:ascii="华文宋体" w:hAnsi="华文宋体" w:eastAsia="华文宋体"/>
          <w:b w:val="false"/>
          <w:bCs w:val="false"/>
          <w:color w:val="000000"/>
        </w:rPr>
        <w:t>楗</w:t>
      </w:r>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内楗</w:t>
      </w:r>
      <w:r>
        <w:rPr>
          <w:rFonts w:ascii="华文宋体" w:hAnsi="华文宋体" w:eastAsia="华文宋体"/>
          <w:color w:val="7F7F7F"/>
          <w:sz w:val="15"/>
          <w:szCs w:val="15"/>
        </w:rPr>
        <w:t>（内：同“纳”，收入；接受。楗：遏制，堵塞。纳谏，向君主进言劝谏）</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留下来却得不到任用，有的离开了却被四处诏求。有的天天都出现在君主面前却不能驾驭，有的只是遥闻其名便被君主日夜思念，凡事都有进言和劝谏，源于平素的交结。有的靠道德相联结，有的靠朋党相联结，有的靠财货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内者，进说辞也；楗者，楗</w:t>
      </w:r>
      <w:r>
        <w:rPr>
          <w:rFonts w:ascii="华文宋体" w:hAnsi="华文宋体" w:eastAsia="华文宋体"/>
          <w:b/>
          <w:bCs/>
          <w:color w:val="000000"/>
        </w:rPr>
        <w:t>所</w:t>
      </w:r>
      <w:r>
        <w:rPr>
          <w:rFonts w:ascii="华文宋体" w:hAnsi="华文宋体" w:cs="Lucida Sans" w:eastAsia="华文宋体"/>
          <w:color w:val="7F7F7F"/>
          <w:kern w:val="2"/>
          <w:sz w:val="15"/>
          <w:szCs w:val="15"/>
          <w:lang w:val="en-US" w:eastAsia="zh-CN" w:bidi="hi-IN"/>
        </w:rPr>
        <w:t>（宜，适宜的，为其所需的）</w:t>
      </w:r>
      <w:r>
        <w:rPr>
          <w:rFonts w:ascii="华文宋体" w:hAnsi="华文宋体" w:eastAsia="华文宋体"/>
          <w:color w:val="000000"/>
        </w:rPr>
        <w:t>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方来</w:t>
      </w:r>
      <w:r>
        <w:rPr>
          <w:rFonts w:ascii="华文宋体" w:hAnsi="华文宋体" w:eastAsia="华文宋体"/>
          <w:color w:val="7F7F7F"/>
          <w:sz w:val="15"/>
          <w:szCs w:val="15"/>
        </w:rPr>
        <w:t>（将来）</w:t>
      </w:r>
      <w:r>
        <w:rPr>
          <w:rFonts w:ascii="华文宋体" w:hAnsi="华文宋体" w:eastAsia="华文宋体"/>
          <w:color w:val="000000"/>
        </w:rPr>
        <w:t>应时，以合其谋。详思来楗，往应时当也。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进游说之辞；所谓“楗”就是谏其所需的谋划。想要游说君主，务必先悄悄地揣测君主的心意；谋划事情的时候，务必顺从君主的心意。暗中分析我们的言辞是否符合时宜，向君主公开言明谋划的优劣得失，以此来迎合君主的心意。将来顺应时机，以使谋划与君主的心意契合。详细地思考后再回来劝谏，让下一步的谋划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取楗。言往者，先顺辞也；说来者，以变言也。善变者，审知地势，乃通于天，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提示）进言有不合君主心意的地方，就不可付诸实施。这时就要估量当前最急迫的形势，从有利于君主的角度出发，以求其改变。以变通的方式来谋求进言的人，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内情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；不得其情而说之者，见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。得其情，乃制其术。此用可出可入，可楗可开。故圣人立事，以此先知而楗</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留下来却得不到重用，是因为他的策略没有实际效果；离开君主却反而被诏求，是因为他所谋划的事后来应验了。每天都能出入在君主面前却不能驾驭，是因为其措施不合君主之意；距离遥远只听到名声就被君主思念，是因为其谋划与君主相符合，君主正等待他前来决断大事。所以说：还没有找到双方类似之处就去游说的人，一定会事与愿违；在还没掌握对方内情的时候就去游说，一定会受到非难。只有获得对方的内情，才能够把握内键之术。如此运用这种方法，可以出世、可以入世；可以劝谏、可以离开。那圣智之人做事情，都是预先知晓情况，而后才能劝谏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夫道德、仁义、礼乐、忠信，计谋先取《诗》《书》，混说损益，议论去就。欲合者用内，欲去者用外。外内者，必明道数，揣策来事，见疑决之。策而无失计，立功建德。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进言；如果决定远离君主，就要到外部为其效力。无论是到外部去为其效力还是进言，都必须明白其中的规律和技巧，然后揣度策划未来的事情，遇到疑难之事进行决断。在运用策略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，曰楗而内合。上暗不治，下乱不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，楗而反之。内自得而外不留，</w:t>
      </w:r>
      <w:r>
        <w:rPr>
          <w:rFonts w:ascii="华文宋体" w:hAnsi="华文宋体" w:eastAsia="华文宋体"/>
          <w:b w:val="false"/>
          <w:bCs w:val="false"/>
          <w:color w:val="000000"/>
        </w:rPr>
        <w:t>说</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劝谏并进言使结合。如果上面昏暗不能治理政务，下面作乱却不能觉悟，就要劝谏使他返归正道。如果碰到志得意满、刚愎自用到对外来道理或建议排斥不进的，游说但恭维他。如果有君主亲自颁发命令来召己，就要先迎合再设法逐步驾驭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24" w:name="__RefHeading___Toc2314_1773610119"/>
      <w:bookmarkStart w:id="25" w:name="_Toc169724352"/>
      <w:bookmarkStart w:id="26" w:name="_Toc30321385"/>
      <w:bookmarkStart w:id="27" w:name="_Toc30321431"/>
      <w:bookmarkStart w:id="28" w:name="_Toc153345584"/>
      <w:bookmarkStart w:id="29" w:name="_Toc47593229"/>
      <w:bookmarkStart w:id="30" w:name="_Toc13255"/>
      <w:bookmarkStart w:id="31" w:name="_Toc1557920471"/>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万物有其自然发展规律，事情有其聚散离合的法则。有的近在身边却难以看透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有的远在天边却了如指掌。距离很近却难以看透，是（因为）没有考察其言辞；距离很远却能了解得很清楚，是（因为）能够返观历史，以验证将来。巇，也就是小的裂缝；小的裂缝不管，就会发展成中等裂缝；中等裂缝不堵，就会发展成大的裂缝。小的裂缝刚出现迹象时，通过“抵”使其闭塞，通过“抵”使其缩小，通过“抵”使其停止，通过“抵”使其隐匿，通过“抵”进行取代，这就是用“抵”处理缝隙的原理。</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的危险，圣智之人洞察后，将采取措施保全其自身。（他们）顺应变化来谈论事情，通达应对的计谋，以识别细微的征兆。经常初起时如秋毫之末般微小，发展起来却可以撼动泰山的根基。当向外施行时，在罅隙尚处于萌芽状态时就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会谗害良善，贤能之人也不会被任用。圣智之人逃匿躲藏起来，贪图利益、诡诈虚伪的人兴风作浪，君臣之间互相猜疑，（国家纲纪）土崩瓦解并导致各种势力互相攻战杀伐，父子离散不合，彼此反目成仇。这些就叫作 “轻微的裂痕” 。圣智之人看到轻微的裂痕时，就会采取法制来“抵”。当世道可以治理，就通过“抵”的方式堵塞漏洞。如果世道不可治理，就通过“抵”的方式取而代之。或用这种方法“抵”，或用那种手法“抵”；或通过“抵”使其恢复原状，或通过 “抵” 将其颠覆重塑。五帝时代的政治，是以“抵”的方式堵塞漏洞。三王时代的政治，是以“抵”的方式进行取代。（现今）诸侯之间互相使用“抵”，其次数之多已无法统计。当此之时，能用“抵”者为高。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的合离、终始以来，必定有裂缝伴随，不可不留心观察。用捭阖之术去明察世道，又能运用“抵”来解决问题的，就是圣智之人。所谓圣智之人，乃是天地的使者。假如世间没有裂缝需要“抵”，就隐居起来等待时机；当世间出现裂缝需要“抵”时，就对出现的裂缝进行谋划。这种方法可以用于结交上面，也可以用于约束下面；能够顺应和遵循（自然规律），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32" w:name="__RefHeading___Toc2316_1773610119"/>
      <w:bookmarkStart w:id="33" w:name="_Toc1943437535"/>
      <w:bookmarkStart w:id="34" w:name="_Toc30321386"/>
      <w:bookmarkStart w:id="35" w:name="_Toc153345585"/>
      <w:bookmarkStart w:id="36" w:name="_Toc264642135"/>
      <w:bookmarkStart w:id="37" w:name="_Toc30321432"/>
      <w:bookmarkStart w:id="38" w:name="_Toc23349"/>
      <w:bookmarkStart w:id="39" w:name="_Toc47593230"/>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推测其形势、衡量其能力，所以要广泛收集或远或近的信息。确定形势而后裁决事情，必须先观察对方与自己的观点是否一致，辨别出对方言语中的是与非，看清对方言语中表面和背后的含义。识别对方是否具有办法决安危之计、定亲疏之事，然后再加以权衡和衡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w:t>
      </w:r>
      <w:r>
        <w:rPr>
          <w:rFonts w:ascii="华文宋体" w:hAnsi="华文宋体" w:eastAsia="华文宋体"/>
          <w:b/>
          <w:bCs/>
          <w:color w:val="000000"/>
        </w:rPr>
        <w:t>箝</w:t>
      </w:r>
      <w:r>
        <w:rPr>
          <w:rFonts w:ascii="华文宋体" w:hAnsi="华文宋体" w:cs="Lucida Sans" w:eastAsia="华文宋体"/>
          <w:color w:val="7F7F7F"/>
          <w:kern w:val="2"/>
          <w:sz w:val="15"/>
          <w:szCs w:val="15"/>
          <w:lang w:val="en-US" w:eastAsia="zh-CN" w:bidi="hi-IN"/>
        </w:rPr>
        <w:t>（夹住。箝，谓牵持缄束，令不得脱也）</w:t>
      </w:r>
      <w:r>
        <w:rPr>
          <w:rFonts w:ascii="华文宋体" w:hAnsi="华文宋体" w:eastAsia="华文宋体"/>
          <w:color w:val="000000"/>
        </w:rPr>
        <w:t>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箝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衡量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w:t>
      </w:r>
      <w:r>
        <w:rPr>
          <w:rFonts w:ascii="华文宋体" w:hAnsi="华文宋体" w:eastAsia="华文宋体"/>
          <w:b/>
          <w:bCs/>
          <w:color w:val="000000"/>
        </w:rPr>
        <w:t>飞箝</w:t>
      </w:r>
      <w:r>
        <w:rPr>
          <w:rFonts w:ascii="华文宋体" w:hAnsi="华文宋体" w:cs="Lucida Sans" w:eastAsia="华文宋体"/>
          <w:color w:val="7F7F7F"/>
          <w:kern w:val="2"/>
          <w:sz w:val="15"/>
          <w:szCs w:val="15"/>
          <w:lang w:val="en-US" w:eastAsia="zh-CN" w:bidi="hi-IN"/>
        </w:rPr>
        <w:t>（用言辞奉承对方使其受制于己的权术手段）</w:t>
      </w:r>
      <w:r>
        <w:rPr>
          <w:rFonts w:ascii="华文宋体" w:hAnsi="华文宋体" w:eastAsia="华文宋体"/>
          <w:color w:val="000000"/>
        </w:rPr>
        <w:t>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箝之术运用到天下，必须要推测其形势、衡量其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“箝”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（程度；限度）</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衡量对方的智慧和能力，权衡对方的才干，度量对方的气势，把对对方的充分了解作为与之相处的关键。去迎合他、追随他，用飞箝之术调和彼此的差距，以意志去疏导他，这就是用飞箝来联结。对人使用飞箝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但不能失去法度。</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0" w:name="__RefHeading___Toc2318_1773610119"/>
      <w:bookmarkStart w:id="41" w:name="_Toc1249941778"/>
      <w:bookmarkStart w:id="42" w:name="_Toc1452349820"/>
      <w:bookmarkStart w:id="43" w:name="_Toc47593231"/>
      <w:bookmarkStart w:id="44" w:name="_Toc30321433"/>
      <w:bookmarkStart w:id="45" w:name="_Toc15496"/>
      <w:bookmarkStart w:id="46" w:name="_Toc153345586"/>
      <w:bookmarkStart w:id="47" w:name="_Toc30321387"/>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谋划要适合实际情况。事物的变化运转像圆环一样互相衔接，（每个环节）各有其发展形势；要反复从正面、反面仔细进行探求，根据事情（的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世上没有恒久的重视（对象），事情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转向和忤逆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确定之后才能行之以飞箝之术。</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还原事情（的真相）；不尽心去发现事物的真实情况，不能成就功名；才干资质（包括能力、智力）不够聪慧，不能统兵作战；忠厚朴实却无真知灼见，不能有察人之明。所以忤合的规律是：自己必须自我估量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8" w:name="__RefHeading___Toc2320_1773610119"/>
      <w:bookmarkStart w:id="49" w:name="_Toc720891011"/>
      <w:bookmarkStart w:id="50" w:name="_Toc30321388"/>
      <w:bookmarkStart w:id="51" w:name="_Toc153345587"/>
      <w:bookmarkStart w:id="52" w:name="_Toc30321434"/>
      <w:bookmarkStart w:id="53" w:name="_Toc12517"/>
      <w:bookmarkStart w:id="54" w:name="_Toc1401013603"/>
      <w:bookmarkStart w:id="55" w:name="_Toc47593232"/>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的人，必会衡量天下的（政治）形势，并且揣测诸侯的内情。衡量形势时不能做到详细，就不知道哪个诸侯国强大、哪个诸侯国弱小、哪个诸侯国不重要、哪个诸侯国重要；揣测内情时不能做到详细，就不能了解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内情的人，必须在对方很高兴的时候，最大限度地刺激并满足他的欲望，当他有欲望的时候，就不能隐瞒住他的实情；必须在对方很恐惧的时候，最大限度地诱发他的憎恶，当他有憎恶的时候，就不能隐瞒住他的内情。内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内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揣测内情，一切谋划和思虑、内情和欲望的出发点就在于此。善于“揣情”的人，就可以让人富贵，就可以让人贫贱；就可以让人被重视，就可以让人被轻贱；就可以获得利益，就可以遭到损害；就可以让人成功，就可以让人失败，其是否掌握“揣情”是关键之一。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测内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56" w:name="__RefHeading___Toc2322_1773610119"/>
      <w:bookmarkStart w:id="57" w:name="_Toc1614659360"/>
      <w:bookmarkStart w:id="58" w:name="_Toc47593233"/>
      <w:bookmarkStart w:id="59" w:name="_Toc27965"/>
      <w:bookmarkStart w:id="60" w:name="_Toc710633081"/>
      <w:bookmarkStart w:id="61" w:name="_Toc30321435"/>
      <w:bookmarkStart w:id="62" w:name="_Toc30321389"/>
      <w:bookmarkStart w:id="63" w:name="_Toc153345588"/>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测之术。观察与内心活动相符合的外在反应，是揣测的主旨。运用“摩”有一定的规律，其规律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内情，而他人不知道我们对他实施摩术，故而达到探测对方内心的目的却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技巧。这叫作规律、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摩之以其欲，焉有不听者？故曰独行之道。夫几者不晚，成而不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内情相合，所以说：与内情相合便会听从。故而世上的事物都是物以类聚，抱起柴草扔进火中，干燥的先被点燃；在平坦的地面倒水，湿润的地方先积水。这就是事物以类而应的道理，在形势上也是这样的。这里是说要仔细观察与内心活动相符合的外在反应，对外在反应的摩也要像这样。所以说：用以类相从的方式去摩，焉有不相呼应的？若顺着对方的欲望去摩，焉有不听从的？所以说这是独行天下的规律。能够见到事物微小的朕兆并采取行动，这样就不会错过时机；每次都成功不止，时间长了便能够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64" w:name="__RefHeading___Toc2324_1773610119"/>
      <w:bookmarkStart w:id="65" w:name="_Toc1948308334"/>
      <w:bookmarkStart w:id="66" w:name="_Toc585797414"/>
      <w:bookmarkStart w:id="67" w:name="_Toc30321390"/>
      <w:bookmarkStart w:id="68" w:name="_Toc153345589"/>
      <w:bookmarkStart w:id="69" w:name="_Toc1178"/>
      <w:bookmarkStart w:id="70" w:name="_Toc30321436"/>
      <w:bookmarkStart w:id="71" w:name="_Toc475932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说服别人；说服别人，就要帮助到别人。修饰言辞，就是借助言辞的力量；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覆，是想让彼此互相都退一步。说为难对方的话，就是反复谈论让对方为难的话题；反复谈论让对方为难的话题，是为了引诱对方将细微的内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开启和闭藏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话。”乱说话的人，是有忌讳的。所谓“众口铄金”，就是乱说话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（权力；权势）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，与贫者言依于利，与贱者言依于谦，与勇者言依于敢，与愚者言依于锐。此其术也，而人常反之。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神气衰弱，精神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才可以运用，对自己有利才能施行。所以游说智慧的人要靠博识多闻的言辞，游说博识多闻的人要靠条理明晰的言辞，游说明晰事理的人要依靠要点明确的言辞，游说达官贵人要围绕权势来进行，游说富人时要以尊重的态度，游说贫穷的人要从利益方面入手，游说卑贱的人要态度谦和，游说勇敢的人要果敢有力，游说愚蠢的人要靠锐利（十分明确，毫不含糊）的言辞。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明道理；与愚笨的人谈话时，就要把这些方法教给他，然而事实上很难做到。所以谈话要多谈些共同话题，做事要多运用权变。因此即使整日谈话也不会失去共同话题，因此这个谈话过程不会混乱。整日不变换话题，也不会偏离谈话的主旨。所以智慧贵在不轻举妄动，听事情贵在于心思灵敏，智慧贵在能够了解和看清楚事物，说辞、辩辞贵在出其不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72" w:name="__RefHeading___Toc2326_1773610119"/>
      <w:bookmarkStart w:id="73" w:name="_Toc1224311797"/>
      <w:bookmarkStart w:id="74" w:name="_Toc153345590"/>
      <w:bookmarkStart w:id="75" w:name="_Toc30321437"/>
      <w:bookmarkStart w:id="76" w:name="_Toc30321391"/>
      <w:bookmarkStart w:id="77" w:name="_Toc20293"/>
      <w:bookmarkStart w:id="78" w:name="_Toc47593235"/>
      <w:bookmarkStart w:id="79" w:name="_Toc1911504720"/>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划都具有一定的规律，必须要得到的事情的起因，以探求其中的内情。详细探得其内情，继而制定三种策略。所谓三种策略，是为上策、中策、下策。将这三种策略互相参验，以制定出解决问题的奇策良谋来。真正的奇策良谋不应该让人感觉有所壅塞或阻挡，这个设计原则从古代开始就已经被人们所遵从。所以郑国人到山里去采玉时，必定带着能指示方向的司南车，为的是不迷失方向。这忖度对方的才干，衡量对方的能力，揣测对方的内情，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（规律；法则）</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也，此所以察异同之分也。故墙坏于其隙，木毁于其节，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有共同的谋划且关系亲密，那是因为合作双方都能获得成功（比如盟友共同抗敌）；有相同的目标却关系疏远，那是因为合作会导致一方受损（比如两个皇子争皇位，无法共存）；有共同的威胁而互相亲近，那是因为双方都面临危险（比如战国六国合纵抗秦）；有共同的威胁却不相合作，那是因为一方觉得自己受损更小（比如某些国家面对强敌时选择投降自保）。所以双方交往得到增益则会相互亲近，双方交往受到损害则会导致疏远。其规律贯穿在内，这是考察人们是异心还是同心的分别。所以墙从有裂缝处崩塌，树木从有节的地方折断，这大概就是分别吧！因而变化会产生事情，事情会引发谋划，谋划会产生计策，计策会产生议论，议论会产生游说，游说会促成进取，进取会导致退让，退让会产生制度，因而得以在事情上做出裁决。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仁德的人不看重财货，不能用利益去诱惑他，可以让他出资资助；勇敢的人轻视危难，不能用祸患去恐吓他，可以让他去据守危险之地；智慧的人通达于道数，明白事理，不能用欺诈手段去欺骗他，可以向他讲明道理，可以让他建功立业，这就是所谓仁人、勇士、智者的“三才”。所以愚昧的人容易被蒙蔽，不肖的人容易被恐吓，贪婪的人容易被诱惑，根据事情来裁决。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说辞；要顺着对方的表现去肯定他；要顺着对方的言辞来迎合他；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拿别人不喜欢的东西强加于人，不要拿别人不了解的事去说教别人。如果对方有某种嗜好，就要效仿并顺应；如果对方有厌恶什么，就要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想要）除掉一个人，就放纵他；等到其放纵（留下把柄）时，再控制他。表情表现得不喜形于色也不怒目相对的人，那可以将机密大事托付给他。（在用人方面，）可以了解的人，可以用；不可以了解的人，有谋划的人是不会用他的。所以说，做任何事崇尚制约别人，而不崇尚显露自己后被别人所制约。制约住了别人，就掌握了主动权；显露自己后被别人所制约，别人就会制约自己的命运。所以圣智之人（谋划事情）遵循“隐而不露”，愚蠢之人（谋划事情）遵循“大肆张扬”。有智慧的人做事比较容易成功，而没有智慧的人想把事做成功就比较困难。由此看来，一旦国家灭亡了就很难再图存，而且一旦国家出现动荡就很难再图安定，这从另一方面说明顺应自然规律且崇尚智慧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w:t>
      </w:r>
    </w:p>
    <w:p>
      <w:pPr>
        <w:pStyle w:val="Normal"/>
        <w:ind w:firstLine="420"/>
        <w:rPr>
          <w:rFonts w:ascii="华文宋体" w:hAnsi="华文宋体" w:eastAsia="华文宋体"/>
        </w:rPr>
      </w:pPr>
      <w:r>
        <w:rPr>
          <w:rFonts w:ascii="华文宋体" w:hAnsi="华文宋体" w:eastAsia="华文宋体"/>
          <w:color w:val="7F7F7F"/>
          <w:sz w:val="15"/>
          <w:szCs w:val="15"/>
        </w:rPr>
        <w:t>智慧要用在众人所不知道的地方，而能力要用在众人所看不见的地方。既然要出力，见可行，选择一些事情亲自来实施，用来为自己打算（好建功立业）；见不可行，选择一些事情亲自来实施，用来为别人打算（好替人善后）。所以古代帝王（治世）遵循“隐而不露”。</w:t>
      </w:r>
    </w:p>
    <w:p>
      <w:pPr>
        <w:pStyle w:val="Normal"/>
        <w:ind w:firstLine="420"/>
        <w:rPr>
          <w:rFonts w:ascii="华文宋体" w:hAnsi="华文宋体" w:eastAsia="华文宋体"/>
        </w:rPr>
      </w:pPr>
      <w:r>
        <w:rPr>
          <w:rFonts w:ascii="华文宋体" w:hAnsi="华文宋体" w:eastAsia="华文宋体"/>
          <w:color w:val="000000"/>
        </w:rPr>
        <w:t>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（具备）</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（箭所能及的范围）</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（诱，引也）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俗话说：“天地的变化，在于高深莫测；圣智之人的控制方法，在于隐匿不露。”这不仅要求忠信、仁义，还必须中正罢了！处理事情的办法通达于这里面的意思，则可以与之谈论（智慧）。听从并能够具备这个，则可使远近范围被引导。</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1" w:name="__RefHeading___Toc2328_1773610119"/>
      <w:bookmarkStart w:id="82" w:name="_Toc720541667"/>
      <w:bookmarkStart w:id="83" w:name="_Toc662898066"/>
      <w:bookmarkStart w:id="84" w:name="_Toc47593236"/>
      <w:bookmarkStart w:id="85" w:name="_Toc30321392"/>
      <w:bookmarkStart w:id="86" w:name="_Toc30321438"/>
      <w:bookmarkStart w:id="87" w:name="_Toc153345591"/>
      <w:bookmarkStart w:id="88" w:name="_Toc6958"/>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（功效）</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决策事情，必定依托于当下的疑虑；好的决策能带来幸福，不好的决策会带来祸患。好的决策一定要诱导对方讲出其内心的真实想法，最终让我们没有迷惑和认知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这是行事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令人摸不透真意）；再配合平素的交往以及关键时刻的应变，此四者要微妙地加以综合运用。于是用过去的经验作为推测，来验证未来事情的发展趋势，再参考平素的案例，只要可行便做出决策。为王公大人谋划事情，有危险但事情成功后能获得美好名声的事情，只要可行便做出决策；不用耗费大的气力和精力就容易获得成功的事情，只要可行便做出决策；有些事情虽然费力勤苦，然而却不得已得这样干的事情，只要可行便做出决策；能排除忧患的事情，只要可行便做出决策；能带来幸福的事情，只要可行便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所以这决策内情、平定疑难，是处理一切事情的基础。以公正（的态度）来治理乱世，决定着事业的成败，是难办的。所以古代帝王才采用蓍草和龟甲占卜的方式，以帮助自己做决策。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9" w:name="__RefHeading___Toc2330_1773610119"/>
      <w:bookmarkStart w:id="90" w:name="_Toc940007052"/>
      <w:bookmarkStart w:id="91" w:name="_Toc30321393"/>
      <w:bookmarkStart w:id="92" w:name="_Toc47593237"/>
      <w:bookmarkStart w:id="93" w:name="_Toc30321439"/>
      <w:bookmarkStart w:id="94" w:name="_Toc22821"/>
      <w:bookmarkStart w:id="95" w:name="_Toc1459315182"/>
      <w:bookmarkStart w:id="96" w:name="_Toc15334559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安详、从容、公正、宁静，柔和有礼且注重安定自身，和善地与人交往并且不同人相争，空虚思想、平和志向，对待事情能够公正。以上帮助君主居君位！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不要胡乱应许，不要抗拒拒绝；胡乱应许就会丧失主见，抗拒拒绝就会闭塞言路。要像高山那样使人仰望却看不到顶，要像深渊那样使人窥探却测不到底。神明的品德，公正宁静到极致。以上帮助君主倾听意见！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公正。赏赐讲信用、刑罚讲公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朝廷）内部和外界信息渠道闭塞不通，（听不到真实的声音，看不到真实的情况）怎么知道从何处打开局面呢？不善于“开启”（发表意见、任用人材）和“闭藏”（隐藏意图、退隐观察），就不能看见问题的根源。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一为看得远，二为听得远，三为具备明察事物的能力。能够了解千里之外、隐微之中的情况，这就叫做洞悉（清楚地知道）。天下的奸邪，莫不暗自变更意图不轨的想法。以上帮助君主参验天下！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实情；名分和实际相当则天下大治，不相当则天下大乱。所以说：名分和实际相当则产生于实际，实际产生于道理，道理产生于名分和实际的得法（合宜），得法产生于和谐，和谐产生于相当。以上帮助君主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99" w:name="__RefHeading___Toc2332_1773610119"/>
      <w:bookmarkStart w:id="100" w:name="_Toc250844796"/>
      <w:bookmarkStart w:id="101" w:name="_Toc1194849932"/>
      <w:bookmarkStart w:id="102" w:name="_Toc2528"/>
      <w:bookmarkStart w:id="103" w:name="_Toc47593238"/>
      <w:bookmarkStart w:id="104" w:name="_Toc30321440"/>
      <w:bookmarkStart w:id="105" w:name="_Toc153345593"/>
      <w:bookmarkStart w:id="106" w:name="_Toc30321394"/>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转丸的运用，圣智之人隐逸之。大概是因为人情事理、顺境逆境的变化，将聪慧灵巧寄托于无形。然而想要改变的人多，成功克服困难的人很少，所以圣智之人没有话说了。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（对事情有益；成；发挥作用）</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（成，就也）</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形势如果不能发挥作用，等待并畜养一段时间后再成就；时机没有满足，安静地加以等候。积蓄恩德去营造形势，如同执形可以驱影，动必有应，行必有随，转丸如同戏耍一样。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阴阳的丸转，损益的改变，顺应（规律）转化作为运用。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ind w:hanging="0" w:left="0"/>
        <w:jc w:val="center"/>
        <w:rPr>
          <w:rFonts w:ascii="华文宋体" w:hAnsi="华文宋体" w:eastAsia="华文宋体"/>
        </w:rPr>
      </w:pPr>
      <w:bookmarkStart w:id="108" w:name="__RefHeading___Toc2334_1773610119"/>
      <w:bookmarkStart w:id="109" w:name="_Toc1342299349"/>
      <w:bookmarkStart w:id="110" w:name="_Toc30321395"/>
      <w:bookmarkStart w:id="111" w:name="_Toc2240"/>
      <w:bookmarkStart w:id="112" w:name="_Toc153345594"/>
      <w:bookmarkStart w:id="113" w:name="_Toc47593239"/>
      <w:bookmarkStart w:id="114" w:name="_Toc30321441"/>
      <w:bookmarkStart w:id="115" w:name="_Toc11785462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所谓乱，就是条理失调，诸事颠倒，毁了形势困住了自身。却，就是消解约束，化解并消融阻塞，急迫之时的运用。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变化起来无止境，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人，被形象所迷，被道理所惑，被表面所蔽，被内里所困；（看透）表象靠视觉，（通达）条理靠知觉。通过欺瞒的的手段制造视听、用动听的言语和伪善的面目取悦于人、各种利益托付，事理无非是奔走钻营。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表面和内里，采取诚信去营造形势，如同蔺相如完璧归赵的做法一样，这是让形势由紧张回到缓和的策略。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16" w:name="__RefHeading___Toc1620_2803666824_副本_1_副"/>
      <w:bookmarkStart w:id="117" w:name="_Toc1482718402_副本_1"/>
      <w:bookmarkStart w:id="118" w:name="_Toc30321403_副本_1"/>
      <w:bookmarkStart w:id="119" w:name="_Toc30321449_副本_1"/>
      <w:bookmarkStart w:id="120" w:name="_Toc47593240_副本_1_副本_1"/>
      <w:bookmarkStart w:id="121" w:name="_Toc1495_副本_1"/>
      <w:bookmarkStart w:id="122" w:name="_Toc1406991709_副本_1"/>
      <w:bookmarkStart w:id="123" w:name="_Toc153345595_副本_1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亦有天枢，生、养、成、藏，亦復不可干而逆之；逆之者，虽盛必衰。此天道，人君之大纲也。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能冲犯和违背的；违背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24" w:name="__RefHeading___Toc1622_2803666824_副本_1_副"/>
      <w:bookmarkStart w:id="125" w:name="_Toc178184531_副本_1"/>
      <w:bookmarkStart w:id="126" w:name="_Toc30321450_副本_1"/>
      <w:bookmarkStart w:id="127" w:name="_Toc76662972_副本_1"/>
      <w:bookmarkStart w:id="128" w:name="_Toc17765_副本_1"/>
      <w:bookmarkStart w:id="129" w:name="_Toc30321404_副本_1"/>
      <w:bookmarkStart w:id="130" w:name="_Toc47593241_副本_1_副本_1"/>
      <w:bookmarkStart w:id="131" w:name="_Toc153345596_副本_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要依据（人性）规律；而拯救他人于拘泥固执的人，能够豢养、驱使小人。士人在世道动乱、时局危急时，或许应当凭借智慧免遭坑害；或许应当戕害能够直言者；或许应当放弃品德并成为一方雄主；或许应当压制和拘系有罪者；或许应当在忧惧之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（回转）</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那规律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使用回转的方式说话”，要能“捕捉能人异士的内心”，要能“时刻谨守做人的道义”。《本经阴符七术》记载的，记载了规律和技巧，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就像在占卦时看到卦爻就可生出吉凶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难以从体态神情去判断他们的内心世界。如果是遇到这种，就赶快隐藏起自己的真实情况、堵塞空隙后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就是人与人如果言语不合、意气不投，彼此间的感情就不会相通。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因为意气不和、音声不协调。</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那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要在暗中观察、窥伺他人的短处。所以话说多了必然会有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我们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摄心”者，谓逢好学伎术者，则为之称远；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才艺的人，就要为他们扩大宣传，使他的名声传到远方。效仿并检验他的方法，然后惊叹他的奇才异能，对方就会与自己心连心。在别人面前摹仿他，以他过去的成功案例作为证据，任意地拿一两件出来摆在别人面前，他悟到后就会更加诚心地归附于自己。遇到放纵酒色的人，就要对他采用一些手段；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ind w:hanging="0" w:left="0"/>
        <w:jc w:val="center"/>
        <w:rPr>
          <w:rFonts w:ascii="华文宋体" w:hAnsi="华文宋体" w:eastAsia="华文宋体"/>
        </w:rPr>
      </w:pPr>
      <w:bookmarkStart w:id="132" w:name="__RefHeading___Toc2336_1773610119"/>
      <w:bookmarkStart w:id="133" w:name="_Toc1773995429"/>
      <w:bookmarkStart w:id="134" w:name="_Toc30321396"/>
      <w:bookmarkStart w:id="135" w:name="_Toc30321442"/>
      <w:bookmarkStart w:id="136" w:name="_Toc9755"/>
      <w:bookmarkStart w:id="137" w:name="_Toc153345597"/>
      <w:bookmarkStart w:id="138" w:name="_Toc715452631"/>
      <w:bookmarkStart w:id="139" w:name="_Toc47593242"/>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当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40" w:name="__RefHeading___Toc2338_1773610119"/>
      <w:bookmarkStart w:id="141" w:name="_Toc841495716"/>
      <w:bookmarkStart w:id="142" w:name="_Toc192592109"/>
      <w:bookmarkStart w:id="143" w:name="_Toc22664"/>
      <w:bookmarkStart w:id="144" w:name="_Toc30321443"/>
      <w:bookmarkStart w:id="145" w:name="_Toc47593243"/>
      <w:bookmarkStart w:id="146" w:name="_Toc30321397"/>
      <w:bookmarkStart w:id="147" w:name="_Toc153345598"/>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虚弱；志向丧失且心意虚弱，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48" w:name="__RefHeading___Toc2340_1773610119"/>
      <w:bookmarkStart w:id="149" w:name="_Toc534766007"/>
      <w:bookmarkStart w:id="150" w:name="_Toc30321444"/>
      <w:bookmarkStart w:id="151" w:name="_Toc153345599"/>
      <w:bookmarkStart w:id="152" w:name="_Toc47593244"/>
      <w:bookmarkStart w:id="153" w:name="_Toc22646"/>
      <w:bookmarkStart w:id="154" w:name="_Toc30321398"/>
      <w:bookmarkStart w:id="155" w:name="_Toc2022631712"/>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w:t>
      </w:r>
      <w:r>
        <w:rPr>
          <w:rFonts w:ascii="华文宋体" w:hAnsi="华文宋体" w:eastAsia="华文宋体"/>
          <w:b/>
          <w:bCs/>
        </w:rPr>
        <w:t>遂</w:t>
      </w:r>
      <w:r>
        <w:rPr>
          <w:rFonts w:ascii="华文宋体" w:hAnsi="华文宋体" w:cs="Lucida Sans" w:eastAsia="华文宋体"/>
          <w:color w:val="7F7F7F"/>
          <w:kern w:val="2"/>
          <w:sz w:val="15"/>
          <w:szCs w:val="13"/>
          <w:lang w:val="en-US" w:eastAsia="zh-CN" w:bidi="hi-IN"/>
        </w:rPr>
        <w:t>（达，通达）</w:t>
      </w:r>
      <w:r>
        <w:rPr>
          <w:rFonts w:ascii="华文宋体" w:hAnsi="华文宋体" w:eastAsia="华文宋体"/>
        </w:rPr>
        <w:t>安，心遂安则所行不</w:t>
      </w:r>
      <w:r>
        <w:rPr>
          <w:rFonts w:ascii="华文宋体" w:hAnsi="华文宋体" w:eastAsia="华文宋体"/>
          <w:b/>
          <w:bCs/>
        </w:rPr>
        <w:t>错</w:t>
      </w:r>
      <w:r>
        <w:rPr>
          <w:rFonts w:ascii="华文宋体" w:hAnsi="华文宋体" w:eastAsia="华文宋体"/>
          <w:color w:val="7F7F7F"/>
          <w:sz w:val="15"/>
          <w:szCs w:val="13"/>
        </w:rPr>
        <w:t>（混乱；杂乱）</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思虑要深远。思想安详宁静则神明丰富，思虑深远则计谋容易成功；神明丰富则志向不会紊乱，计谋成功则即使公开也没有空隙可乘。意愿和思虑安定则思想通达安详，思想通达安祥则所行不混乱，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cs="Lucida Sans" w:eastAsia="华文宋体"/>
          <w:color w:val="auto"/>
          <w:kern w:val="2"/>
          <w:sz w:val="24"/>
          <w:szCs w:val="24"/>
          <w:lang w:val="en-US" w:eastAsia="zh-CN" w:bidi="hi-IN"/>
        </w:rPr>
        <w:t>、</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明白了万物的创造和演化；看见阴阳的终而复始，推究出人间事物的政治原理。不出门就能推知天下的状况，不窥察窗外就能看见天道的规律；不用看就可以对下发出指示，不用做就可以达到目的，这就是所谓的“以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56" w:name="__RefHeading___Toc2342_1773610119"/>
      <w:bookmarkStart w:id="157" w:name="_Toc1710013847"/>
      <w:bookmarkStart w:id="158" w:name="_Toc153345600"/>
      <w:bookmarkStart w:id="159" w:name="_Toc30321399"/>
      <w:bookmarkStart w:id="160" w:name="_Toc30321445"/>
      <w:bookmarkStart w:id="161" w:name="_Toc12026"/>
      <w:bookmarkStart w:id="162" w:name="_Toc1490294709"/>
      <w:bookmarkStart w:id="163" w:name="_Toc47593245"/>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见的。详究于彼此的一唱一和，通过隐而不见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知道稳固和充实自己的，是懂得自我修养的人；谦让己身的，是懂得教养他人的人。所以能够做到精神长存而进击之势毫不显现，才是可为的形势。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64" w:name="__RefHeading___Toc2344_1773610119"/>
      <w:bookmarkStart w:id="165" w:name="_Toc1470570454"/>
      <w:bookmarkStart w:id="166" w:name="_Toc5302"/>
      <w:bookmarkStart w:id="167" w:name="_Toc1172803545"/>
      <w:bookmarkStart w:id="168" w:name="_Toc153345601"/>
      <w:bookmarkStart w:id="169" w:name="_Toc30321400"/>
      <w:bookmarkStart w:id="170" w:name="_Toc47593246"/>
      <w:bookmarkStart w:id="171" w:name="_Toc30321446"/>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内盛，推间而行之，则势散。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散除势力，是由精神使唤的。运用此法，一定要循着对方的空隙而行动。威力迅速地在内心积聚至旺盛，再顺着对方的空隙而施行，则对方的势力可以散除。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（衡量）</w:t>
      </w:r>
      <w:r>
        <w:rPr>
          <w:rFonts w:ascii="华文宋体" w:hAnsi="华文宋体" w:eastAsia="华文宋体"/>
          <w:b/>
          <w:bCs/>
        </w:rPr>
        <w:t>数</w:t>
      </w:r>
      <w:r>
        <w:rPr>
          <w:rFonts w:ascii="华文宋体" w:hAnsi="华文宋体" w:eastAsia="华文宋体"/>
          <w:color w:val="7F7F7F"/>
          <w:sz w:val="15"/>
          <w:szCs w:val="13"/>
        </w:rPr>
        <w:t>（数，计也。谋划）</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这散除势力，思想要虚空且志向要充溢。意愿衰弱则威力丧失，精力和精神不专一，其表现在外的言语就会多变。所以要看对方的意志进行衡量谋划，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2" w:name="__RefHeading___Toc2346_1773610119"/>
      <w:bookmarkStart w:id="173" w:name="_Toc1210226060"/>
      <w:bookmarkStart w:id="174" w:name="_Toc30321447"/>
      <w:bookmarkStart w:id="175" w:name="_Toc8986"/>
      <w:bookmarkStart w:id="176" w:name="_Toc153345602"/>
      <w:bookmarkStart w:id="177" w:name="_Toc47593247"/>
      <w:bookmarkStart w:id="178" w:name="_Toc1880000984"/>
      <w:bookmarkStart w:id="179" w:name="_Toc30321401"/>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w:t>
      </w:r>
      <w:r>
        <w:rPr>
          <w:rFonts w:ascii="华文宋体" w:hAnsi="华文宋体" w:eastAsia="华文宋体"/>
          <w:b/>
          <w:bCs/>
        </w:rPr>
        <w:t>原</w:t>
      </w:r>
      <w:r>
        <w:rPr>
          <w:rFonts w:ascii="华文宋体" w:hAnsi="华文宋体" w:cs="Lucida Sans" w:eastAsia="华文宋体"/>
          <w:color w:val="7F7F7F"/>
          <w:kern w:val="2"/>
          <w:sz w:val="15"/>
          <w:szCs w:val="13"/>
          <w:lang w:val="en-US" w:eastAsia="zh-CN" w:bidi="hi-IN"/>
        </w:rPr>
        <w:t>（推究）</w:t>
      </w:r>
      <w:r>
        <w:rPr>
          <w:rFonts w:ascii="华文宋体" w:hAnsi="华文宋体" w:eastAsia="华文宋体"/>
        </w:rPr>
        <w:t>不测之智，</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（才能）</w:t>
      </w:r>
      <w:r>
        <w:rPr>
          <w:rFonts w:ascii="华文宋体" w:hAnsi="华文宋体" w:eastAsia="华文宋体"/>
        </w:rPr>
        <w:t>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w:t>
      </w:r>
    </w:p>
    <w:p>
      <w:pPr>
        <w:pStyle w:val="Normal"/>
        <w:ind w:firstLine="420"/>
        <w:rPr>
          <w:rFonts w:ascii="华文宋体" w:hAnsi="华文宋体" w:eastAsia="华文宋体"/>
        </w:rPr>
      </w:pPr>
      <w:r>
        <w:rPr>
          <w:rFonts w:ascii="华文宋体" w:hAnsi="华文宋体" w:eastAsia="华文宋体"/>
          <w:color w:val="7F7F7F"/>
          <w:sz w:val="15"/>
          <w:szCs w:val="13"/>
        </w:rPr>
        <w:t>转为圆通，（将产生）无穷的计谋。无穷（地产生）计谋，必须具有圣智之人的思想，以推究出不可估量的智慧，才能通达思想的方法。而精神引导混沌为“一”，用变化的角度看待万物，所说的语义就会无穷。</w:t>
      </w:r>
    </w:p>
    <w:p>
      <w:pPr>
        <w:pStyle w:val="Normal"/>
        <w:ind w:firstLine="420"/>
        <w:rPr>
          <w:rFonts w:ascii="华文宋体" w:hAnsi="华文宋体" w:eastAsia="华文宋体"/>
        </w:rPr>
      </w:pPr>
      <w:r>
        <w:rPr>
          <w:rFonts w:ascii="华文宋体" w:hAnsi="华文宋体" w:eastAsia="华文宋体"/>
        </w:rPr>
        <w:t>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（随从；随着）</w:t>
      </w:r>
      <w:r>
        <w:rPr>
          <w:rFonts w:ascii="华文宋体" w:hAnsi="华文宋体" w:eastAsia="华文宋体"/>
        </w:rPr>
        <w:t>造化者为</w:t>
      </w:r>
      <w:r>
        <w:rPr>
          <w:rFonts w:ascii="华文宋体" w:hAnsi="华文宋体" w:eastAsia="华文宋体"/>
          <w:b/>
          <w:bCs/>
        </w:rPr>
        <w:t>始</w:t>
      </w:r>
      <w:r>
        <w:rPr>
          <w:rFonts w:ascii="华文宋体" w:hAnsi="华文宋体" w:cs="Lucida Sans" w:eastAsia="华文宋体"/>
          <w:color w:val="7F7F7F"/>
          <w:kern w:val="2"/>
          <w:sz w:val="15"/>
          <w:szCs w:val="13"/>
          <w:lang w:val="en-US" w:eastAsia="zh-CN" w:bidi="hi-IN"/>
        </w:rPr>
        <w:t>（起点、开端）</w:t>
      </w:r>
      <w:r>
        <w:rPr>
          <w:rFonts w:ascii="华文宋体" w:hAnsi="华文宋体" w:eastAsia="华文宋体"/>
        </w:rPr>
        <w:t>，动作无不包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智慧、战略、计策、谋划，具有各自的形体容貌，有的圆通，有的方正；有的运用阴，有的运用阳；有的给人带来吉祥，有的给人带来不祥，这是因为事情的类别不一样。所以圣智之人怀着这个思路进行运用，转为圆通才能谋求与事情的类别相吻合。所以随着造化者（制造和转化事情的人）为开端，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天地是广阔无边的，人世间的事是无穷的，各以其特点分成不同的类别；看清对方的计谋之后，必能推知其最终的吉凶成败。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为圆通，有的转化为吉祥，有的转化为不祥；圣智之人以“自然规律”来预先推知存亡，然后推知通过转为圆通才能够依从方正。圆通，是为了话语投机；方正，是为了措置事情。运转变化，是为了观察对方的计谋；接触外物，是为了观察对方进退的意愿。彼此都看到了契合点，于是抓住重要的关键点以接引对方的话。</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80" w:name="__RefHeading___Toc2348_1773610119"/>
      <w:bookmarkStart w:id="181" w:name="_Toc964853272"/>
      <w:bookmarkStart w:id="182" w:name="_Toc153345603"/>
      <w:bookmarkStart w:id="183" w:name="_Toc30321402"/>
      <w:bookmarkStart w:id="184" w:name="_Toc47593248"/>
      <w:bookmarkStart w:id="185" w:name="_Toc1750"/>
      <w:bookmarkStart w:id="186" w:name="_Toc958547277"/>
      <w:bookmarkStart w:id="187" w:name="_Toc30321448"/>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（句首语气词。无义）</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侯从对方处获得信息，观察对方的言辞是否符合事实。随机应变是因为了解对方，排除干扰是为了方便行事；或排除干扰应对，或随机应变应对。抉择时发现有不可行的，圣智之人不为之言语。所以有智慧的人不会光顾着自己说话而忽略别人言辞中的隐含信息，因而能够做到言辞不繁乱并且思想不空虚，志向不紊乱并且意愿不偏斜。</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对方的圆通不能施行，使对方的方正不通阻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所以善于排除干扰和随机应变的人，处理事情就好像挖开千丈高的堤水，又好像从万丈的谿谷上向下滚动圆石一样。而能够做到这个的，是其所造就的形势使人不得不如此啊！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等线 Light">
    <w:charset w:val="01"/>
    <w:family w:val="roman"/>
    <w:pitch w:val="variable"/>
  </w:font>
  <w:font w:name="华文宋体">
    <w:charset w:val="01"/>
    <w:family w:val="roman"/>
    <w:pitch w:val="variable"/>
  </w:font>
  <w:font w:name="宋体">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35</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35</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35</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35</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60"/>
  <w:displayBackgroundShape/>
  <w:trackRevisions/>
  <w:defaultTabStop w:val="420"/>
  <w:autoHyphenation w:val="true"/>
  <w:hyphenationZone w:val="360"/>
  <w:compat>
    <w:doNotExpandShiftReturn/>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qFormat/>
    <w:pPr>
      <w:keepNext w:val="true"/>
      <w:keepLines/>
      <w:widowControl/>
      <w:suppressAutoHyphens w:val="true"/>
      <w:spacing w:lineRule="auto" w:line="415" w:before="260" w:after="260"/>
      <w:outlineLvl w:val="2"/>
    </w:pPr>
    <w:rPr>
      <w:b/>
      <w:bCs/>
      <w:sz w:val="32"/>
      <w:szCs w:val="32"/>
    </w:rPr>
  </w:style>
  <w:style w:type="character" w:styleId="DefaultParagraphFont">
    <w:name w:val="Default Paragraph Font"/>
    <w:qFormat/>
    <w:rPr/>
  </w:style>
  <w:style w:type="character" w:styleId="LineNumber">
    <w:name w:val="line number"/>
    <w:rPr/>
  </w:style>
  <w:style w:type="character" w:styleId="Hyperlink">
    <w:name w:val="Hyperlink"/>
    <w:rPr>
      <w:color w:val="000080"/>
      <w:u w:val="single"/>
    </w:rPr>
  </w:style>
  <w:style w:type="character" w:styleId="LineNumbering">
    <w:name w:val="Line Numbering"/>
    <w:qFormat/>
    <w:rPr/>
  </w:style>
  <w:style w:type="character" w:styleId="InternetLink">
    <w:name w:val="Internet Link"/>
    <w:qFormat/>
    <w:rPr>
      <w:color w:val="000080"/>
      <w:u w:val="single"/>
    </w:rPr>
  </w:style>
  <w:style w:type="character" w:styleId="LineNumbering1">
    <w:name w:val="Line Numbering1"/>
    <w:qFormat/>
    <w:rPr/>
  </w:style>
  <w:style w:type="character" w:styleId="InternetLink1">
    <w:name w:val="Internet Link1"/>
    <w:qFormat/>
    <w:rPr>
      <w:color w:val="000080"/>
      <w:u w:val="single"/>
    </w:rPr>
  </w:style>
  <w:style w:type="character" w:styleId="InternetLink11">
    <w:name w:val="Internet Link11"/>
    <w:qFormat/>
    <w:rPr>
      <w:color w:val="000080"/>
      <w:u w:val="single"/>
    </w:rPr>
  </w:style>
  <w:style w:type="character" w:styleId="InternetLink111">
    <w:name w:val="Internet Link111"/>
    <w:basedOn w:val="DefaultParagraphFont"/>
    <w:qFormat/>
    <w:rPr>
      <w:color w:val="0563C1"/>
      <w:u w:val="single"/>
    </w:rPr>
  </w:style>
  <w:style w:type="character" w:styleId="heading1Char">
    <w:name w:val="heading 1 Char"/>
    <w:basedOn w:val="DefaultParagraphFont"/>
    <w:qFormat/>
    <w:rPr>
      <w:rFonts w:ascii="Liberation Serif" w:hAnsi="Liberation Serif" w:eastAsia="Noto Serif CJK SC" w:cs="Lucida Sans"/>
      <w:b/>
      <w:bCs/>
      <w:color w:val="auto"/>
      <w:kern w:val="2"/>
      <w:sz w:val="44"/>
      <w:szCs w:val="44"/>
      <w:lang w:val="en-US" w:eastAsia="zh-CN" w:bidi="hi-IN"/>
    </w:rPr>
  </w:style>
  <w:style w:type="character" w:styleId="heading2Char">
    <w:name w:val="heading 2 Char"/>
    <w:basedOn w:val="DefaultParagraphFont"/>
    <w:qFormat/>
    <w:rPr>
      <w:rFonts w:ascii="Times New Roman" w:hAnsi="Times New Roman" w:eastAsia="黑体" w:cs="Lucida Sans"/>
      <w:b/>
      <w:bCs/>
      <w:color w:val="auto"/>
      <w:kern w:val="2"/>
      <w:sz w:val="32"/>
      <w:szCs w:val="32"/>
      <w:lang w:val="en-US" w:eastAsia="zh-CN" w:bidi="hi-IN"/>
    </w:rPr>
  </w:style>
  <w:style w:type="character" w:styleId="heading3Char">
    <w:name w:val="heading 3 Char"/>
    <w:basedOn w:val="DefaultParagraphFont"/>
    <w:qFormat/>
    <w:rPr>
      <w:rFonts w:ascii="Liberation Serif" w:hAnsi="Liberation Serif" w:eastAsia="Noto Serif CJK SC" w:cs="Lucida Sans"/>
      <w:b/>
      <w:bCs/>
      <w:color w:val="auto"/>
      <w:kern w:val="2"/>
      <w:sz w:val="32"/>
      <w:szCs w:val="32"/>
      <w:lang w:val="en-US" w:eastAsia="zh-CN" w:bidi="hi-IN"/>
    </w:rPr>
  </w:style>
  <w:style w:type="character" w:styleId="linenumber1">
    <w:name w:val="line number1"/>
    <w:qFormat/>
    <w:rPr/>
  </w:style>
  <w:style w:type="character" w:styleId="linenumber11">
    <w:name w:val="line number11"/>
    <w:qFormat/>
    <w:rPr/>
  </w:style>
  <w:style w:type="character" w:styleId="linenumber111">
    <w:name w:val="line number111"/>
    <w:qFormat/>
    <w:rPr/>
  </w:style>
  <w:style w:type="character" w:styleId="linenumber1111">
    <w:name w:val="line number1111"/>
    <w:qFormat/>
    <w:rPr/>
  </w:style>
  <w:style w:type="character" w:styleId="linenumber11111">
    <w:name w:val="line number11111"/>
    <w:qFormat/>
    <w:rPr/>
  </w:style>
  <w:style w:type="character" w:styleId="linenumber111111">
    <w:name w:val="line number111111"/>
    <w:qFormat/>
    <w:rPr/>
  </w:style>
  <w:style w:type="character" w:styleId="Style11">
    <w:name w:val="编号符号"/>
    <w:qFormat/>
    <w:rPr/>
  </w:style>
  <w:style w:type="character" w:styleId="1">
    <w:name w:val="行号1"/>
    <w:qFormat/>
    <w:rPr/>
  </w:style>
  <w:style w:type="character" w:styleId="Style12">
    <w:name w:val="索引链接"/>
    <w:qFormat/>
    <w:rPr/>
  </w:style>
  <w:style w:type="character" w:styleId="2">
    <w:name w:val="行号2"/>
    <w:qFormat/>
    <w:rPr/>
  </w:style>
  <w:style w:type="character" w:styleId="linenumber2">
    <w:name w:val="line number2"/>
    <w:qFormat/>
    <w:rPr/>
  </w:style>
  <w:style w:type="character" w:styleId="LineNumbering11">
    <w:name w:val="Line Numbering11"/>
    <w:qFormat/>
    <w:rPr/>
  </w:style>
  <w:style w:type="character" w:styleId="LineNumbering111">
    <w:name w:val="Line Numbering111"/>
    <w:qFormat/>
    <w:rPr/>
  </w:style>
  <w:style w:type="character" w:styleId="InternetLink2">
    <w:name w:val="Internet Link2"/>
    <w:qFormat/>
    <w:rPr>
      <w:color w:val="000080"/>
      <w:u w:val="single"/>
    </w:rPr>
  </w:style>
  <w:style w:type="character" w:styleId="LineNumbering2">
    <w:name w:val="Line Numbering2"/>
    <w:qFormat/>
    <w:rPr/>
  </w:style>
  <w:style w:type="character" w:styleId="InternetLink3">
    <w:name w:val="Internet Link3"/>
    <w:qFormat/>
    <w:rPr>
      <w:color w:val="000080"/>
      <w:u w:val="single"/>
    </w:rPr>
  </w:style>
  <w:style w:type="character" w:styleId="LineNumbering3">
    <w:name w:val="Line Numbering3"/>
    <w:qFormat/>
    <w:rPr/>
  </w:style>
  <w:style w:type="character" w:styleId="InternetLink4">
    <w:name w:val="Internet Link4"/>
    <w:qFormat/>
    <w:rPr>
      <w:color w:val="000080"/>
      <w:u w:val="single"/>
    </w:rPr>
  </w:style>
  <w:style w:type="character" w:styleId="LineNumbering4">
    <w:name w:val="Line Numbering4"/>
    <w:qFormat/>
    <w:rPr/>
  </w:style>
  <w:style w:type="character" w:styleId="InternetLink5">
    <w:name w:val="Internet Link5"/>
    <w:qFormat/>
    <w:rPr>
      <w:color w:val="000080"/>
      <w:u w:val="single"/>
    </w:rPr>
  </w:style>
  <w:style w:type="character" w:styleId="LineNumbering5">
    <w:name w:val="Line Numbering5"/>
    <w:qFormat/>
    <w:rPr/>
  </w:style>
  <w:style w:type="character" w:styleId="InternetLink6">
    <w:name w:val="Internet Link6"/>
    <w:qFormat/>
    <w:rPr>
      <w:color w:val="000080"/>
      <w:u w:val="single"/>
    </w:rPr>
  </w:style>
  <w:style w:type="character" w:styleId="LineNumbering6">
    <w:name w:val="Line Numbering6"/>
    <w:qFormat/>
    <w:rPr/>
  </w:style>
  <w:style w:type="character" w:styleId="InternetLink7">
    <w:name w:val="Internet Link7"/>
    <w:qFormat/>
    <w:rPr>
      <w:color w:val="000080"/>
      <w:u w:val="single"/>
    </w:rPr>
  </w:style>
  <w:style w:type="character" w:styleId="LineNumbering7">
    <w:name w:val="Line Numbering7"/>
    <w:qFormat/>
    <w:rPr/>
  </w:style>
  <w:style w:type="character" w:styleId="InternetLink8">
    <w:name w:val="Internet Link8"/>
    <w:qFormat/>
    <w:rPr>
      <w:color w:val="000080"/>
      <w:u w:val="single"/>
    </w:rPr>
  </w:style>
  <w:style w:type="character" w:styleId="LineNumbering8">
    <w:name w:val="Line Numbering8"/>
    <w:qFormat/>
    <w:rPr/>
  </w:style>
  <w:style w:type="character" w:styleId="InternetLink9">
    <w:name w:val="Internet Link9"/>
    <w:qFormat/>
    <w:rPr>
      <w:color w:val="000080"/>
      <w:u w:val="single"/>
    </w:rPr>
  </w:style>
  <w:style w:type="character" w:styleId="LineNumbering9">
    <w:name w:val="Line Numbering9"/>
    <w:qFormat/>
    <w:rPr/>
  </w:style>
  <w:style w:type="character" w:styleId="InternetLink10">
    <w:name w:val="Internet Link10"/>
    <w:qFormat/>
    <w:rPr>
      <w:color w:val="000080"/>
      <w:u w:val="single"/>
    </w:rPr>
  </w:style>
  <w:style w:type="character" w:styleId="LineNumbering10">
    <w:name w:val="Line Numbering10"/>
    <w:qFormat/>
    <w:rPr/>
  </w:style>
  <w:style w:type="character" w:styleId="InternetLink12">
    <w:name w:val="Internet Link12"/>
    <w:qFormat/>
    <w:rPr>
      <w:color w:val="000080"/>
      <w:u w:val="single"/>
    </w:rPr>
  </w:style>
  <w:style w:type="character" w:styleId="LineNumbering12">
    <w:name w:val="Line Numbering12"/>
    <w:qFormat/>
    <w:rPr/>
  </w:style>
  <w:style w:type="character" w:styleId="InternetLink13">
    <w:name w:val="Internet Link13"/>
    <w:qFormat/>
    <w:rPr>
      <w:color w:val="000080"/>
      <w:u w:val="single"/>
    </w:rPr>
  </w:style>
  <w:style w:type="character" w:styleId="LineNumbering13">
    <w:name w:val="Line Numbering13"/>
    <w:qFormat/>
    <w:rPr/>
  </w:style>
  <w:style w:type="character" w:styleId="InternetLink14">
    <w:name w:val="Internet Link14"/>
    <w:qFormat/>
    <w:rPr>
      <w:color w:val="000080"/>
      <w:u w:val="single"/>
    </w:rPr>
  </w:style>
  <w:style w:type="character" w:styleId="LineNumbering14">
    <w:name w:val="Line Numbering14"/>
    <w:qFormat/>
    <w:rPr/>
  </w:style>
  <w:style w:type="character" w:styleId="InternetLink15">
    <w:name w:val="Internet Link15"/>
    <w:qFormat/>
    <w:rPr>
      <w:color w:val="000080"/>
      <w:u w:val="single"/>
    </w:rPr>
  </w:style>
  <w:style w:type="character" w:styleId="LineNumbering15">
    <w:name w:val="Line Numbering15"/>
    <w:qFormat/>
    <w:rPr/>
  </w:style>
  <w:style w:type="character" w:styleId="InternetLink16">
    <w:name w:val="Internet Link16"/>
    <w:qFormat/>
    <w:rPr>
      <w:color w:val="000080"/>
      <w:u w:val="single"/>
    </w:rPr>
  </w:style>
  <w:style w:type="character" w:styleId="LineNumbering16">
    <w:name w:val="Line Numbering16"/>
    <w:qFormat/>
    <w:rPr/>
  </w:style>
  <w:style w:type="character" w:styleId="InternetLink17">
    <w:name w:val="Internet Link17"/>
    <w:qFormat/>
    <w:rPr>
      <w:color w:val="000080"/>
      <w:u w:val="single"/>
    </w:rPr>
  </w:style>
  <w:style w:type="character" w:styleId="LineNumbering17">
    <w:name w:val="Line Numbering17"/>
    <w:qFormat/>
    <w:rPr/>
  </w:style>
  <w:style w:type="character" w:styleId="InternetLink18">
    <w:name w:val="Internet Link18"/>
    <w:qFormat/>
    <w:rPr>
      <w:color w:val="000080"/>
      <w:u w:val="single"/>
    </w:rPr>
  </w:style>
  <w:style w:type="character" w:styleId="LineNumbering18">
    <w:name w:val="Line Numbering18"/>
    <w:qFormat/>
    <w:rPr/>
  </w:style>
  <w:style w:type="character" w:styleId="InternetLink19">
    <w:name w:val="Internet Link19"/>
    <w:qFormat/>
    <w:rPr>
      <w:color w:val="000080"/>
      <w:u w:val="single"/>
    </w:rPr>
  </w:style>
  <w:style w:type="character" w:styleId="LineNumbering19">
    <w:name w:val="Line Numbering19"/>
    <w:qFormat/>
    <w:rPr/>
  </w:style>
  <w:style w:type="character" w:styleId="InternetLink20">
    <w:name w:val="Internet Link20"/>
    <w:qFormat/>
    <w:rPr>
      <w:color w:val="000080"/>
      <w:u w:val="single"/>
    </w:rPr>
  </w:style>
  <w:style w:type="character" w:styleId="LineNumbering20">
    <w:name w:val="Line Numbering20"/>
    <w:qFormat/>
    <w:rPr/>
  </w:style>
  <w:style w:type="character" w:styleId="InternetLink21">
    <w:name w:val="Internet Link21"/>
    <w:qFormat/>
    <w:rPr>
      <w:color w:val="000080"/>
      <w:u w:val="single"/>
    </w:rPr>
  </w:style>
  <w:style w:type="character" w:styleId="LineNumbering21">
    <w:name w:val="Line Numbering21"/>
    <w:qFormat/>
    <w:rPr/>
  </w:style>
  <w:style w:type="character" w:styleId="InternetLink22">
    <w:name w:val="Internet Link22"/>
    <w:qFormat/>
    <w:rPr>
      <w:color w:val="000080"/>
      <w:u w:val="single"/>
    </w:rPr>
  </w:style>
  <w:style w:type="character" w:styleId="LineNumbering22">
    <w:name w:val="Line Numbering22"/>
    <w:qFormat/>
    <w:rPr/>
  </w:style>
  <w:style w:type="character" w:styleId="InternetLink23">
    <w:name w:val="Internet Link23"/>
    <w:qFormat/>
    <w:rPr>
      <w:color w:val="000080"/>
      <w:u w:val="single"/>
    </w:rPr>
  </w:style>
  <w:style w:type="character" w:styleId="LineNumbering23">
    <w:name w:val="Line Numbering23"/>
    <w:qFormat/>
    <w:rPr/>
  </w:style>
  <w:style w:type="character" w:styleId="InternetLink24">
    <w:name w:val="Internet Link24"/>
    <w:qFormat/>
    <w:rPr>
      <w:color w:val="000080"/>
      <w:u w:val="single"/>
    </w:rPr>
  </w:style>
  <w:style w:type="character" w:styleId="LineNumbering24">
    <w:name w:val="Line Numbering24"/>
    <w:qFormat/>
    <w:rPr/>
  </w:style>
  <w:style w:type="character" w:styleId="InternetLink25">
    <w:name w:val="Internet Link25"/>
    <w:qFormat/>
    <w:rPr>
      <w:color w:val="000080"/>
      <w:u w:val="single"/>
    </w:rPr>
  </w:style>
  <w:style w:type="character" w:styleId="LineNumbering25">
    <w:name w:val="Line Numbering25"/>
    <w:qFormat/>
    <w:rPr/>
  </w:style>
  <w:style w:type="character" w:styleId="InternetLink26">
    <w:name w:val="Internet Link26"/>
    <w:qFormat/>
    <w:rPr>
      <w:color w:val="000080"/>
      <w:u w:val="single"/>
    </w:rPr>
  </w:style>
  <w:style w:type="character" w:styleId="LineNumbering26">
    <w:name w:val="Line Numbering26"/>
    <w:qFormat/>
    <w:rPr/>
  </w:style>
  <w:style w:type="character" w:styleId="InternetLink27">
    <w:name w:val="Internet Link27"/>
    <w:qFormat/>
    <w:rPr>
      <w:color w:val="000080"/>
      <w:u w:val="single"/>
    </w:rPr>
  </w:style>
  <w:style w:type="character" w:styleId="LineNumbering27">
    <w:name w:val="Line Numbering27"/>
    <w:qFormat/>
    <w:rPr/>
  </w:style>
  <w:style w:type="character" w:styleId="InternetLink28">
    <w:name w:val="Internet Link28"/>
    <w:qFormat/>
    <w:rPr>
      <w:color w:val="000080"/>
      <w:u w:val="single"/>
    </w:rPr>
  </w:style>
  <w:style w:type="character" w:styleId="LineNumbering28">
    <w:name w:val="Line Numbering28"/>
    <w:qFormat/>
    <w:rPr/>
  </w:style>
  <w:style w:type="character" w:styleId="InternetLink29">
    <w:name w:val="Internet Link29"/>
    <w:qFormat/>
    <w:rPr>
      <w:color w:val="000080"/>
      <w:u w:val="single"/>
    </w:rPr>
  </w:style>
  <w:style w:type="character" w:styleId="LineNumbering29">
    <w:name w:val="Line Numbering29"/>
    <w:qFormat/>
    <w:rPr/>
  </w:style>
  <w:style w:type="character" w:styleId="InternetLink30">
    <w:name w:val="Internet Link30"/>
    <w:qFormat/>
    <w:rPr>
      <w:color w:val="000080"/>
      <w:u w:val="single"/>
    </w:rPr>
  </w:style>
  <w:style w:type="character" w:styleId="LineNumbering30">
    <w:name w:val="Line Numbering30"/>
    <w:qFormat/>
    <w:rPr/>
  </w:style>
  <w:style w:type="character" w:styleId="InternetLink31">
    <w:name w:val="Internet Link31"/>
    <w:qFormat/>
    <w:rPr>
      <w:color w:val="000080"/>
      <w:u w:val="single"/>
    </w:rPr>
  </w:style>
  <w:style w:type="character" w:styleId="LineNumbering31">
    <w:name w:val="Line Numbering31"/>
    <w:qFormat/>
    <w:rPr/>
  </w:style>
  <w:style w:type="character" w:styleId="InternetLink32">
    <w:name w:val="Internet Link32"/>
    <w:qFormat/>
    <w:rPr>
      <w:color w:val="000080"/>
      <w:u w:val="single"/>
    </w:rPr>
  </w:style>
  <w:style w:type="character" w:styleId="LineNumbering32">
    <w:name w:val="Line Numbering32"/>
    <w:qFormat/>
    <w:rPr/>
  </w:style>
  <w:style w:type="character" w:styleId="InternetLink33">
    <w:name w:val="Internet Link33"/>
    <w:qFormat/>
    <w:rPr>
      <w:color w:val="000080"/>
      <w:u w:val="single"/>
    </w:rPr>
  </w:style>
  <w:style w:type="character" w:styleId="LineNumbering33">
    <w:name w:val="Line Numbering33"/>
    <w:qFormat/>
    <w:rPr/>
  </w:style>
  <w:style w:type="character" w:styleId="InternetLink34">
    <w:name w:val="Internet Link34"/>
    <w:qFormat/>
    <w:rPr>
      <w:color w:val="000080"/>
      <w:u w:val="single"/>
    </w:rPr>
  </w:style>
  <w:style w:type="character" w:styleId="LineNumbering34">
    <w:name w:val="Line Numbering34"/>
    <w:qFormat/>
    <w:rPr/>
  </w:style>
  <w:style w:type="character" w:styleId="InternetLink35">
    <w:name w:val="Internet Link35"/>
    <w:qFormat/>
    <w:rPr>
      <w:color w:val="000080"/>
      <w:u w:val="single"/>
    </w:rPr>
  </w:style>
  <w:style w:type="character" w:styleId="LineNumbering35">
    <w:name w:val="Line Numbering35"/>
    <w:qFormat/>
    <w:rPr/>
  </w:style>
  <w:style w:type="character" w:styleId="InternetLink36">
    <w:name w:val="Internet Link36"/>
    <w:qFormat/>
    <w:rPr>
      <w:color w:val="000080"/>
      <w:u w:val="single"/>
    </w:rPr>
  </w:style>
  <w:style w:type="character" w:styleId="LineNumbering36">
    <w:name w:val="Line Numbering36"/>
    <w:qFormat/>
    <w:rPr/>
  </w:style>
  <w:style w:type="character" w:styleId="InternetLink37">
    <w:name w:val="Internet Link37"/>
    <w:qFormat/>
    <w:rPr>
      <w:color w:val="000080"/>
      <w:u w:val="single"/>
    </w:rPr>
  </w:style>
  <w:style w:type="character" w:styleId="InternetLink38">
    <w:name w:val="Internet Link38"/>
    <w:qFormat/>
    <w:rPr>
      <w:color w:val="000080"/>
      <w:u w:val="single"/>
    </w:rPr>
  </w:style>
  <w:style w:type="character" w:styleId="LineNumbering37">
    <w:name w:val="Line Numbering37"/>
    <w:qFormat/>
    <w:rPr/>
  </w:style>
  <w:style w:type="character" w:styleId="InternetLink39">
    <w:name w:val="Internet Link39"/>
    <w:qFormat/>
    <w:rPr>
      <w:color w:val="000080"/>
      <w:u w:val="single"/>
    </w:rPr>
  </w:style>
  <w:style w:type="character" w:styleId="LineNumbering38">
    <w:name w:val="Line Numbering38"/>
    <w:qFormat/>
    <w:rPr/>
  </w:style>
  <w:style w:type="character" w:styleId="InternetLink40">
    <w:name w:val="Internet Link40"/>
    <w:qFormat/>
    <w:rPr>
      <w:color w:val="000080"/>
      <w:u w:val="single"/>
    </w:rPr>
  </w:style>
  <w:style w:type="character" w:styleId="LineNumbering39">
    <w:name w:val="Line Numbering39"/>
    <w:qFormat/>
    <w:rPr/>
  </w:style>
  <w:style w:type="character" w:styleId="InternetLink41">
    <w:name w:val="Internet Link41"/>
    <w:qFormat/>
    <w:rPr>
      <w:color w:val="000080"/>
      <w:u w:val="single"/>
    </w:rPr>
  </w:style>
  <w:style w:type="character" w:styleId="LineNumbering40">
    <w:name w:val="Line Numbering40"/>
    <w:qFormat/>
    <w:rPr/>
  </w:style>
  <w:style w:type="character" w:styleId="InternetLink42">
    <w:name w:val="Internet Link42"/>
    <w:qFormat/>
    <w:rPr>
      <w:color w:val="000080"/>
      <w:u w:val="single"/>
    </w:rPr>
  </w:style>
  <w:style w:type="character" w:styleId="LineNumbering41">
    <w:name w:val="Line Numbering41"/>
    <w:qFormat/>
    <w:rPr/>
  </w:style>
  <w:style w:type="character" w:styleId="InternetLink43">
    <w:name w:val="Internet Link43"/>
    <w:qFormat/>
    <w:rPr>
      <w:color w:val="000080"/>
      <w:u w:val="single"/>
    </w:rPr>
  </w:style>
  <w:style w:type="character" w:styleId="LineNumbering42">
    <w:name w:val="Line Numbering42"/>
    <w:qFormat/>
    <w:rPr/>
  </w:style>
  <w:style w:type="character" w:styleId="InternetLink44">
    <w:name w:val="Internet Link44"/>
    <w:qFormat/>
    <w:rPr>
      <w:color w:val="000080"/>
      <w:u w:val="single"/>
    </w:rPr>
  </w:style>
  <w:style w:type="character" w:styleId="LineNumbering43">
    <w:name w:val="Line Numbering43"/>
    <w:qFormat/>
    <w:rPr/>
  </w:style>
  <w:style w:type="character" w:styleId="user">
    <w:name w:val="索引链接 (user)"/>
    <w:qFormat/>
    <w:rPr/>
  </w:style>
  <w:style w:type="paragraph" w:styleId="Style13">
    <w:name w:val="标题样式"/>
    <w:basedOn w:val="Normal"/>
    <w:next w:val="BodyText"/>
    <w:qFormat/>
    <w:pPr>
      <w:keepNext w:val="true"/>
      <w:spacing w:before="240" w:after="120"/>
    </w:pPr>
    <w:rPr>
      <w:rFonts w:ascii="Liberation Sans" w:hAnsi="Liberation Sans" w:eastAsia="Noto Sans CJK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widowControl/>
      <w:suppressLineNumbers/>
      <w:suppressAutoHyphens w:val="true"/>
      <w:spacing w:before="120" w:after="120"/>
    </w:pPr>
    <w:rPr>
      <w:rFonts w:cs="Mangal"/>
      <w:i/>
      <w:iCs/>
    </w:rPr>
  </w:style>
  <w:style w:type="paragraph" w:styleId="Style14">
    <w:name w:val="索引"/>
    <w:basedOn w:val="Normal"/>
    <w:qFormat/>
    <w:pPr>
      <w:suppressLineNumbers/>
    </w:pPr>
    <w:rPr>
      <w:rFonts w:cs="Lucida Sans"/>
    </w:rPr>
  </w:style>
  <w:style w:type="paragraph" w:styleId="user1">
    <w:name w:val="标题样式 (user)"/>
    <w:basedOn w:val="Normal"/>
    <w:next w:val="BodyText"/>
    <w:qFormat/>
    <w:pPr>
      <w:keepNext w:val="true"/>
      <w:spacing w:before="240" w:after="120"/>
    </w:pPr>
    <w:rPr>
      <w:rFonts w:ascii="Liberation Sans" w:hAnsi="Liberation Sans" w:eastAsia="Noto Sans SC" w:cs="Lucida Sans"/>
      <w:sz w:val="28"/>
      <w:szCs w:val="28"/>
    </w:rPr>
  </w:style>
  <w:style w:type="paragraph" w:styleId="user2">
    <w:name w:val="索引 (user)"/>
    <w:basedOn w:val="Normal"/>
    <w:qFormat/>
    <w:pPr>
      <w:suppressLineNumbers/>
    </w:pPr>
    <w:rPr>
      <w:rFonts w:cs="Lucida Sans"/>
    </w:rPr>
  </w:style>
  <w:style w:type="paragraph" w:styleId="Style15">
    <w:name w:val="页眉与页脚"/>
    <w:basedOn w:val="Normal"/>
    <w:qFormat/>
    <w:pPr/>
    <w:rPr/>
  </w:style>
  <w:style w:type="paragraph" w:styleId="user3">
    <w:name w:val="页眉与页脚 (user)"/>
    <w:basedOn w:val="Normal"/>
    <w:qFormat/>
    <w:pPr/>
    <w:rPr/>
  </w:style>
  <w:style w:type="paragraph" w:styleId="Footer">
    <w:name w:val="footer"/>
    <w:basedOn w:val="Style15"/>
    <w:pPr/>
    <w:rPr/>
  </w:style>
  <w:style w:type="paragraph" w:styleId="TOC1">
    <w:name w:val="toc 1"/>
    <w:basedOn w:val="Style14"/>
    <w:pPr>
      <w:tabs>
        <w:tab w:val="clear" w:pos="420"/>
        <w:tab w:val="right" w:pos="9740" w:leader="dot"/>
      </w:tabs>
      <w:spacing w:lineRule="auto" w:line="276"/>
    </w:pPr>
    <w:rPr/>
  </w:style>
  <w:style w:type="paragraph" w:styleId="11">
    <w:name w:val="标题 11"/>
    <w:basedOn w:val="Normal"/>
    <w:next w:val="Normal"/>
    <w:qFormat/>
    <w:pPr>
      <w:keepNext w:val="true"/>
      <w:keepLines/>
      <w:widowControl/>
      <w:suppressAutoHyphens w:val="true"/>
      <w:spacing w:lineRule="auto" w:line="578" w:before="340" w:after="330"/>
      <w:outlineLvl w:val="0"/>
    </w:pPr>
    <w:rPr>
      <w:b/>
      <w:bCs/>
      <w:sz w:val="44"/>
    </w:rPr>
  </w:style>
  <w:style w:type="paragraph" w:styleId="21">
    <w:name w:val="标题 21"/>
    <w:basedOn w:val="Normal"/>
    <w:next w:val="Normal"/>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name w:val="标题 31"/>
    <w:basedOn w:val="Normal"/>
    <w:next w:val="Normal"/>
    <w:qFormat/>
    <w:pPr>
      <w:keepNext w:val="true"/>
      <w:keepLines/>
      <w:widowControl/>
      <w:suppressAutoHyphens w:val="true"/>
      <w:spacing w:lineRule="auto" w:line="415" w:before="260" w:after="260"/>
      <w:outlineLvl w:val="2"/>
    </w:pPr>
    <w:rPr>
      <w:b/>
      <w:sz w:val="32"/>
    </w:rPr>
  </w:style>
  <w:style w:type="paragraph" w:styleId="12">
    <w:name w:val="题注1"/>
    <w:basedOn w:val="Normal"/>
    <w:qFormat/>
    <w:pPr>
      <w:widowControl/>
      <w:suppressLineNumbers/>
      <w:suppressAutoHyphens w:val="true"/>
      <w:spacing w:before="120" w:after="120"/>
    </w:pPr>
    <w:rPr>
      <w:i/>
      <w:iCs/>
    </w:rPr>
  </w:style>
  <w:style w:type="paragraph" w:styleId="TOC11">
    <w:name w:val="TOC 11"/>
    <w:next w:val="Normal"/>
    <w:qFormat/>
    <w:pPr>
      <w:widowControl/>
      <w:suppressAutoHyphens w:val="true"/>
      <w:overflowPunct w:val="tru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name w:val="caption1"/>
    <w:basedOn w:val="Normal"/>
    <w:qFormat/>
    <w:pPr>
      <w:widowControl/>
      <w:suppressLineNumbers/>
      <w:suppressAutoHyphens w:val="true"/>
      <w:spacing w:before="120" w:after="120"/>
    </w:pPr>
    <w:rPr>
      <w:i/>
      <w:iCs/>
    </w:rPr>
  </w:style>
  <w:style w:type="paragraph" w:styleId="caption11">
    <w:name w:val="caption11"/>
    <w:basedOn w:val="Normal"/>
    <w:next w:val="Normal"/>
    <w:qFormat/>
    <w:pPr>
      <w:widowControl/>
      <w:suppressLineNumbers/>
      <w:suppressAutoHyphens w:val="true"/>
      <w:spacing w:before="120" w:after="120"/>
    </w:pPr>
    <w:rPr>
      <w:i/>
      <w:iCs/>
    </w:rPr>
  </w:style>
  <w:style w:type="paragraph" w:styleId="13">
    <w:name w:val="页脚1"/>
    <w:basedOn w:val="Style15"/>
    <w:qFormat/>
    <w:pPr/>
    <w:rPr/>
  </w:style>
  <w:style w:type="paragraph" w:styleId="caption111">
    <w:name w:val="caption111"/>
    <w:basedOn w:val="Normal"/>
    <w:qFormat/>
    <w:pPr>
      <w:widowControl/>
      <w:suppressLineNumbers/>
      <w:suppressAutoHyphens w:val="true"/>
      <w:spacing w:before="120" w:after="120"/>
    </w:pPr>
    <w:rPr>
      <w:i/>
      <w:iCs/>
    </w:rPr>
  </w:style>
  <w:style w:type="paragraph" w:styleId="caption1111">
    <w:name w:val="caption1111"/>
    <w:basedOn w:val="Normal"/>
    <w:qFormat/>
    <w:pPr>
      <w:widowControl/>
      <w:suppressLineNumbers/>
      <w:suppressAutoHyphens w:val="true"/>
      <w:spacing w:before="120" w:after="120"/>
    </w:pPr>
    <w:rPr>
      <w:i/>
      <w:iCs/>
    </w:rPr>
  </w:style>
  <w:style w:type="paragraph" w:styleId="caption11111">
    <w:name w:val="caption11111"/>
    <w:basedOn w:val="Normal"/>
    <w:qFormat/>
    <w:pPr>
      <w:widowControl/>
      <w:suppressLineNumbers/>
      <w:suppressAutoHyphens w:val="true"/>
      <w:spacing w:before="120" w:after="120"/>
    </w:pPr>
    <w:rPr>
      <w:i/>
      <w:iCs/>
    </w:rPr>
  </w:style>
  <w:style w:type="paragraph" w:styleId="caption111111">
    <w:name w:val="caption111111"/>
    <w:basedOn w:val="Normal"/>
    <w:qFormat/>
    <w:pPr>
      <w:widowControl/>
      <w:suppressLineNumbers/>
      <w:suppressAutoHyphens w:val="true"/>
      <w:spacing w:before="120" w:after="120"/>
    </w:pPr>
    <w:rPr>
      <w:i/>
      <w:iCs/>
    </w:rPr>
  </w:style>
  <w:style w:type="paragraph" w:styleId="caption1111111">
    <w:name w:val="caption1111111"/>
    <w:basedOn w:val="Normal"/>
    <w:next w:val="Normal"/>
    <w:qFormat/>
    <w:pPr>
      <w:widowControl/>
      <w:suppressLineNumbers/>
      <w:suppressAutoHyphens w:val="true"/>
      <w:spacing w:before="120" w:after="120"/>
    </w:pPr>
    <w:rPr>
      <w:i/>
      <w:iCs/>
    </w:rPr>
  </w:style>
  <w:style w:type="paragraph" w:styleId="14">
    <w:name w:val="修订1"/>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name w:val="修订2"/>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name w:val="TOC 21"/>
    <w:qFormat/>
    <w:pPr>
      <w:widowControl/>
      <w:suppressAutoHyphens w:val="true"/>
      <w:overflowPunct w:val="tru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name w:val="TOC 31"/>
    <w:qFormat/>
    <w:pPr>
      <w:widowControl/>
      <w:suppressAutoHyphens w:val="true"/>
      <w:overflowPunct w:val="tru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name w:val="TOC 41"/>
    <w:qFormat/>
    <w:pPr>
      <w:widowControl/>
      <w:suppressAutoHyphens w:val="true"/>
      <w:overflowPunct w:val="tru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name w:val="TOC 51"/>
    <w:qFormat/>
    <w:pPr>
      <w:widowControl/>
      <w:suppressAutoHyphens w:val="true"/>
      <w:overflowPunct w:val="tru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name w:val="TOC 61"/>
    <w:qFormat/>
    <w:pPr>
      <w:widowControl/>
      <w:suppressAutoHyphens w:val="true"/>
      <w:overflowPunct w:val="tru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name w:val="TOC 71"/>
    <w:qFormat/>
    <w:pPr>
      <w:widowControl/>
      <w:suppressAutoHyphens w:val="true"/>
      <w:overflowPunct w:val="tru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name w:val="TOC 81"/>
    <w:qFormat/>
    <w:pPr>
      <w:widowControl/>
      <w:suppressAutoHyphens w:val="true"/>
      <w:overflowPunct w:val="tru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name w:val="TOC 91"/>
    <w:qFormat/>
    <w:pPr>
      <w:widowControl/>
      <w:suppressAutoHyphens w:val="true"/>
      <w:overflowPunct w:val="tru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name w:val="修订3"/>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name w:val="索引标题1"/>
    <w:basedOn w:val="Style13"/>
    <w:qFormat/>
    <w:pPr/>
    <w:rPr/>
  </w:style>
  <w:style w:type="paragraph" w:styleId="TOC12">
    <w:name w:val="TOC 标题1"/>
    <w:basedOn w:val="11"/>
    <w:next w:val="Normal"/>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name w:val="页脚2"/>
    <w:basedOn w:val="Style15"/>
    <w:qFormat/>
    <w:pPr/>
    <w:rPr/>
  </w:style>
  <w:style w:type="paragraph" w:styleId="4">
    <w:name w:val="修订4"/>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name w:val="页脚3"/>
    <w:basedOn w:val="Style15"/>
    <w:qFormat/>
    <w:pPr/>
    <w:rPr/>
  </w:style>
  <w:style w:type="paragraph" w:styleId="indexheading1">
    <w:name w:val="index heading1"/>
    <w:basedOn w:val="Style13"/>
    <w:qFormat/>
    <w:pPr>
      <w:keepNext w:val="true"/>
      <w:widowControl/>
      <w:suppressLineNumbers/>
      <w:suppressAutoHyphens w:val="true"/>
    </w:pPr>
    <w:rPr>
      <w:b/>
      <w:bCs/>
      <w:sz w:val="32"/>
      <w:szCs w:val="32"/>
    </w:rPr>
  </w:style>
  <w:style w:type="paragraph" w:styleId="24">
    <w:name w:val="索引标题2"/>
    <w:basedOn w:val="Style13"/>
    <w:qFormat/>
    <w:pPr/>
    <w:rPr/>
  </w:style>
  <w:style w:type="paragraph" w:styleId="TOCHeading011ce3ef-f48b-4a8f-82de-039fdd1bc486">
    <w:name w:val="TOC Heading_011ce3ef-f48b-4a8f-82de-039fdd1bc486"/>
    <w:basedOn w:val="indexheading1"/>
    <w:qFormat/>
    <w:pPr/>
    <w:rPr/>
  </w:style>
  <w:style w:type="paragraph" w:styleId="Revision5471284b-f867-4be6-9704-55961d1e0c7d">
    <w:name w:val="Revision_5471284b-f867-4be6-9704-55961d1e0c7d"/>
    <w:qFormat/>
    <w:pPr>
      <w:widowControl/>
      <w:suppressAutoHyphens w:val="fals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name w:val="Revision"/>
    <w:qFormat/>
    <w:pPr>
      <w:widowControl/>
      <w:suppressAutoHyphens w:val="fals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Normal.eit</Template>
  <TotalTime>853</TotalTime>
  <Application>LibreOffice/26.2.1.2$Linux_X86_64 LibreOffice_project/8399f6259d8c87f40e7255cdb3c9b958f5e08948</Application>
  <AppVersion>15.0000</AppVersion>
  <Pages>35</Pages>
  <Words>36595</Words>
  <Characters>36696</Characters>
  <CharactersWithSpaces>36758</CharactersWithSpaces>
  <Paragraphs>300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2026-04-21T20:15:13Z</dcterms:modified>
  <cp:revision>490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