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故先王之道阴。言有之曰：“天地之化，在高与深；圣人之制道，在隐与匿。”非独忠信、仁义也，中正而已矣；道理达于此之义，则可与语。由能得此，则可以彀远近之诱。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2"/>
            </w:rPr>
            <w:instrText xml:space="preserve"> TOC \o "1-3" \h</w:instrText>
          </w:r>
          <w:r>
            <w:rPr>
              <w:rStyle w:val="Style12"/>
            </w:rPr>
            <w:fldChar w:fldCharType="separate"/>
          </w:r>
          <w:hyperlink w:anchor="__RefHeading___Toc2308_1773610119" w:tooltip="捭阖">
            <w:r>
              <w:rPr>
                <w:rStyle w:val="Style12"/>
              </w:rPr>
              <w:t>捭阖</w:t>
            </w:r>
            <w:r>
              <w:rPr>
                <w:rStyle w:val="Style12"/>
              </w:rPr>
              <w:tab/>
              <w:t>3</w:t>
            </w:r>
          </w:hyperlink>
        </w:p>
        <w:p>
          <w:pPr>
            <w:pStyle w:val="TOC1"/>
            <w:tabs>
              <w:tab w:val="clear" w:pos="9740"/>
              <w:tab w:val="right" w:pos="9739" w:leader="dot"/>
            </w:tabs>
            <w:rPr/>
          </w:pPr>
          <w:hyperlink w:anchor="__RefHeading___Toc2310_1773610119" w:tooltip="反应">
            <w:r>
              <w:rPr>
                <w:rStyle w:val="Style12"/>
              </w:rPr>
              <w:t>反应</w:t>
            </w:r>
            <w:r>
              <w:rPr>
                <w:rStyle w:val="Style12"/>
              </w:rPr>
              <w:tab/>
              <w:t>5</w:t>
            </w:r>
          </w:hyperlink>
        </w:p>
        <w:p>
          <w:pPr>
            <w:pStyle w:val="TOC1"/>
            <w:tabs>
              <w:tab w:val="clear" w:pos="9740"/>
              <w:tab w:val="right" w:pos="9739" w:leader="dot"/>
            </w:tabs>
            <w:rPr/>
          </w:pPr>
          <w:hyperlink w:anchor="__RefHeading___Toc2312_1773610119" w:tooltip="内楗">
            <w:r>
              <w:rPr>
                <w:rStyle w:val="Style12"/>
              </w:rPr>
              <w:t>内楗</w:t>
            </w:r>
            <w:r>
              <w:rPr>
                <w:rStyle w:val="Style12"/>
              </w:rPr>
              <w:tab/>
              <w:t>7</w:t>
            </w:r>
          </w:hyperlink>
        </w:p>
        <w:p>
          <w:pPr>
            <w:pStyle w:val="TOC1"/>
            <w:tabs>
              <w:tab w:val="clear" w:pos="9740"/>
              <w:tab w:val="right" w:pos="9739" w:leader="dot"/>
            </w:tabs>
            <w:rPr/>
          </w:pPr>
          <w:hyperlink w:anchor="__RefHeading___Toc2314_1773610119" w:tooltip="抵巇">
            <w:r>
              <w:rPr>
                <w:rStyle w:val="Style12"/>
              </w:rPr>
              <w:t>抵巇</w:t>
            </w:r>
            <w:r>
              <w:rPr>
                <w:rStyle w:val="Style12"/>
              </w:rPr>
              <w:tab/>
              <w:t>9</w:t>
            </w:r>
          </w:hyperlink>
        </w:p>
        <w:p>
          <w:pPr>
            <w:pStyle w:val="TOC1"/>
            <w:tabs>
              <w:tab w:val="clear" w:pos="9740"/>
              <w:tab w:val="right" w:pos="9739" w:leader="dot"/>
            </w:tabs>
            <w:rPr/>
          </w:pPr>
          <w:hyperlink w:anchor="__RefHeading___Toc2316_1773610119" w:tooltip="飞箝">
            <w:r>
              <w:rPr>
                <w:rStyle w:val="Style12"/>
              </w:rPr>
              <w:t>飞箝</w:t>
            </w:r>
            <w:r>
              <w:rPr>
                <w:rStyle w:val="Style12"/>
              </w:rPr>
              <w:tab/>
              <w:t>10</w:t>
            </w:r>
          </w:hyperlink>
        </w:p>
        <w:p>
          <w:pPr>
            <w:pStyle w:val="TOC1"/>
            <w:tabs>
              <w:tab w:val="clear" w:pos="9740"/>
              <w:tab w:val="right" w:pos="9739" w:leader="dot"/>
            </w:tabs>
            <w:rPr/>
          </w:pPr>
          <w:hyperlink w:anchor="__RefHeading___Toc2318_1773610119" w:tooltip="忤合">
            <w:r>
              <w:rPr>
                <w:rStyle w:val="Style12"/>
              </w:rPr>
              <w:t>忤合</w:t>
            </w:r>
            <w:r>
              <w:rPr>
                <w:rStyle w:val="Style12"/>
              </w:rPr>
              <w:tab/>
              <w:t>12</w:t>
            </w:r>
          </w:hyperlink>
        </w:p>
        <w:p>
          <w:pPr>
            <w:pStyle w:val="TOC1"/>
            <w:tabs>
              <w:tab w:val="clear" w:pos="9740"/>
              <w:tab w:val="right" w:pos="9739" w:leader="dot"/>
            </w:tabs>
            <w:rPr/>
          </w:pPr>
          <w:hyperlink w:anchor="__RefHeading___Toc2320_1773610119" w:tooltip="揣篇">
            <w:r>
              <w:rPr>
                <w:rStyle w:val="Style12"/>
              </w:rPr>
              <w:t>揣篇</w:t>
            </w:r>
            <w:r>
              <w:rPr>
                <w:rStyle w:val="Style12"/>
              </w:rPr>
              <w:tab/>
              <w:t>13</w:t>
            </w:r>
          </w:hyperlink>
        </w:p>
        <w:p>
          <w:pPr>
            <w:pStyle w:val="TOC1"/>
            <w:tabs>
              <w:tab w:val="clear" w:pos="9740"/>
              <w:tab w:val="right" w:pos="9739" w:leader="dot"/>
            </w:tabs>
            <w:rPr/>
          </w:pPr>
          <w:hyperlink w:anchor="__RefHeading___Toc2322_1773610119" w:tooltip="摩篇">
            <w:r>
              <w:rPr>
                <w:rStyle w:val="Style12"/>
              </w:rPr>
              <w:t>摩篇</w:t>
            </w:r>
            <w:r>
              <w:rPr>
                <w:rStyle w:val="Style12"/>
              </w:rPr>
              <w:tab/>
              <w:t>15</w:t>
            </w:r>
          </w:hyperlink>
        </w:p>
        <w:p>
          <w:pPr>
            <w:pStyle w:val="TOC1"/>
            <w:tabs>
              <w:tab w:val="clear" w:pos="9740"/>
              <w:tab w:val="right" w:pos="9739" w:leader="dot"/>
            </w:tabs>
            <w:rPr/>
          </w:pPr>
          <w:hyperlink w:anchor="__RefHeading___Toc2324_1773610119" w:tooltip="权篇">
            <w:r>
              <w:rPr>
                <w:rStyle w:val="Style12"/>
              </w:rPr>
              <w:t>权篇</w:t>
            </w:r>
            <w:r>
              <w:rPr>
                <w:rStyle w:val="Style12"/>
              </w:rPr>
              <w:tab/>
              <w:t>16</w:t>
            </w:r>
          </w:hyperlink>
        </w:p>
        <w:p>
          <w:pPr>
            <w:pStyle w:val="TOC1"/>
            <w:tabs>
              <w:tab w:val="clear" w:pos="9740"/>
              <w:tab w:val="right" w:pos="9739" w:leader="dot"/>
            </w:tabs>
            <w:rPr/>
          </w:pPr>
          <w:hyperlink w:anchor="__RefHeading___Toc2326_1773610119" w:tooltip="谋篇">
            <w:r>
              <w:rPr>
                <w:rStyle w:val="Style12"/>
              </w:rPr>
              <w:t>谋篇</w:t>
            </w:r>
            <w:r>
              <w:rPr>
                <w:rStyle w:val="Style12"/>
              </w:rPr>
              <w:tab/>
              <w:t>18</w:t>
            </w:r>
          </w:hyperlink>
        </w:p>
        <w:p>
          <w:pPr>
            <w:pStyle w:val="TOC1"/>
            <w:tabs>
              <w:tab w:val="clear" w:pos="9740"/>
              <w:tab w:val="right" w:pos="9739" w:leader="dot"/>
            </w:tabs>
            <w:rPr/>
          </w:pPr>
          <w:hyperlink w:anchor="__RefHeading___Toc2328_1773610119" w:tooltip="决篇">
            <w:r>
              <w:rPr>
                <w:rStyle w:val="Style12"/>
              </w:rPr>
              <w:t>决篇</w:t>
            </w:r>
            <w:r>
              <w:rPr>
                <w:rStyle w:val="Style12"/>
              </w:rPr>
              <w:tab/>
              <w:t>21</w:t>
            </w:r>
          </w:hyperlink>
        </w:p>
        <w:p>
          <w:pPr>
            <w:pStyle w:val="TOC1"/>
            <w:tabs>
              <w:tab w:val="clear" w:pos="9740"/>
              <w:tab w:val="right" w:pos="9739" w:leader="dot"/>
            </w:tabs>
            <w:rPr/>
          </w:pPr>
          <w:hyperlink w:anchor="__RefHeading___Toc2330_1773610119" w:tooltip="符言">
            <w:r>
              <w:rPr>
                <w:rStyle w:val="Style12"/>
              </w:rPr>
              <w:t>符言</w:t>
            </w:r>
            <w:r>
              <w:rPr>
                <w:rStyle w:val="Style12"/>
              </w:rPr>
              <w:tab/>
              <w:t>22</w:t>
            </w:r>
          </w:hyperlink>
        </w:p>
        <w:p>
          <w:pPr>
            <w:pStyle w:val="TOC1"/>
            <w:tabs>
              <w:tab w:val="clear" w:pos="9740"/>
              <w:tab w:val="right" w:pos="9739" w:leader="dot"/>
            </w:tabs>
            <w:rPr/>
          </w:pPr>
          <w:hyperlink w:anchor="__RefHeading___Toc2332_1773610119" w:tooltip="转丸">
            <w:r>
              <w:rPr>
                <w:rStyle w:val="Style12"/>
              </w:rPr>
              <w:t>转丸</w:t>
            </w:r>
            <w:r>
              <w:rPr>
                <w:rStyle w:val="Style12"/>
              </w:rPr>
              <w:tab/>
              <w:t>23</w:t>
            </w:r>
          </w:hyperlink>
        </w:p>
        <w:p>
          <w:pPr>
            <w:pStyle w:val="TOC1"/>
            <w:tabs>
              <w:tab w:val="clear" w:pos="9740"/>
              <w:tab w:val="right" w:pos="9739" w:leader="dot"/>
            </w:tabs>
            <w:rPr/>
          </w:pPr>
          <w:hyperlink w:anchor="__RefHeading___Toc2334_1773610119" w:tooltip="却乱">
            <w:r>
              <w:rPr>
                <w:rStyle w:val="Style12"/>
              </w:rPr>
              <w:t>却乱</w:t>
            </w:r>
            <w:r>
              <w:rPr>
                <w:rStyle w:val="Style12"/>
              </w:rPr>
              <w:tab/>
              <w:t>25</w:t>
            </w:r>
          </w:hyperlink>
        </w:p>
        <w:p>
          <w:pPr>
            <w:pStyle w:val="TOC1"/>
            <w:tabs>
              <w:tab w:val="clear" w:pos="9740"/>
              <w:tab w:val="right" w:pos="9739" w:leader="dot"/>
            </w:tabs>
            <w:rPr/>
          </w:pPr>
          <w:hyperlink w:anchor="__RefHeading___Toc1620_2803666824_%25E5%" w:tooltip="持枢">
            <w:r>
              <w:rPr>
                <w:rStyle w:val="Style12"/>
              </w:rPr>
              <w:t>持枢</w:t>
            </w:r>
            <w:r>
              <w:rPr>
                <w:rStyle w:val="Style12"/>
              </w:rPr>
              <w:tab/>
              <w:t>26</w:t>
            </w:r>
          </w:hyperlink>
        </w:p>
        <w:p>
          <w:pPr>
            <w:pStyle w:val="TOC1"/>
            <w:tabs>
              <w:tab w:val="clear" w:pos="9740"/>
              <w:tab w:val="right" w:pos="9739" w:leader="dot"/>
            </w:tabs>
            <w:rPr/>
          </w:pPr>
          <w:hyperlink w:anchor="__RefHeading___Toc1622_2803666824_%25E5%" w:tooltip="中经">
            <w:r>
              <w:rPr>
                <w:rStyle w:val="Style12"/>
              </w:rPr>
              <w:t>中经</w:t>
            </w:r>
            <w:r>
              <w:rPr>
                <w:rStyle w:val="Style12"/>
              </w:rPr>
              <w:tab/>
              <w:t>26</w:t>
            </w:r>
          </w:hyperlink>
        </w:p>
        <w:p>
          <w:pPr>
            <w:pStyle w:val="TOC1"/>
            <w:tabs>
              <w:tab w:val="clear" w:pos="9740"/>
              <w:tab w:val="right" w:pos="9739" w:leader="dot"/>
            </w:tabs>
            <w:rPr/>
          </w:pPr>
          <w:hyperlink w:anchor="__RefHeading___Toc2336_1773610119" w:tooltip="盛神法五龙">
            <w:r>
              <w:rPr>
                <w:rStyle w:val="Style12"/>
              </w:rPr>
              <w:t>盛神法五龙</w:t>
            </w:r>
            <w:r>
              <w:rPr>
                <w:rStyle w:val="Style12"/>
              </w:rPr>
              <w:tab/>
              <w:t>29</w:t>
            </w:r>
          </w:hyperlink>
        </w:p>
        <w:p>
          <w:pPr>
            <w:pStyle w:val="TOC1"/>
            <w:tabs>
              <w:tab w:val="clear" w:pos="9740"/>
              <w:tab w:val="right" w:pos="9739" w:leader="dot"/>
            </w:tabs>
            <w:rPr/>
          </w:pPr>
          <w:hyperlink w:anchor="__RefHeading___Toc2338_1773610119" w:tooltip="养志法灵龟">
            <w:r>
              <w:rPr>
                <w:rStyle w:val="Style12"/>
              </w:rPr>
              <w:t>养志法灵龟</w:t>
            </w:r>
            <w:r>
              <w:rPr>
                <w:rStyle w:val="Style12"/>
              </w:rPr>
              <w:tab/>
              <w:t>30</w:t>
            </w:r>
          </w:hyperlink>
        </w:p>
        <w:p>
          <w:pPr>
            <w:pStyle w:val="TOC1"/>
            <w:tabs>
              <w:tab w:val="clear" w:pos="9740"/>
              <w:tab w:val="right" w:pos="9739" w:leader="dot"/>
            </w:tabs>
            <w:rPr/>
          </w:pPr>
          <w:hyperlink w:anchor="__RefHeading___Toc2340_1773610119" w:tooltip="实意法螣蛇">
            <w:r>
              <w:rPr>
                <w:rStyle w:val="Style12"/>
              </w:rPr>
              <w:t>实意法螣蛇</w:t>
            </w:r>
            <w:r>
              <w:rPr>
                <w:rStyle w:val="Style12"/>
              </w:rPr>
              <w:tab/>
              <w:t>31</w:t>
            </w:r>
          </w:hyperlink>
        </w:p>
        <w:p>
          <w:pPr>
            <w:pStyle w:val="TOC1"/>
            <w:tabs>
              <w:tab w:val="clear" w:pos="9740"/>
              <w:tab w:val="right" w:pos="9739" w:leader="dot"/>
            </w:tabs>
            <w:rPr/>
          </w:pPr>
          <w:hyperlink w:anchor="__RefHeading___Toc2342_1773610119" w:tooltip="分威法伏熊">
            <w:r>
              <w:rPr>
                <w:rStyle w:val="Style12"/>
              </w:rPr>
              <w:t>分威法伏熊</w:t>
            </w:r>
            <w:r>
              <w:rPr>
                <w:rStyle w:val="Style12"/>
              </w:rPr>
              <w:tab/>
              <w:t>32</w:t>
            </w:r>
          </w:hyperlink>
        </w:p>
        <w:p>
          <w:pPr>
            <w:pStyle w:val="TOC1"/>
            <w:tabs>
              <w:tab w:val="clear" w:pos="9740"/>
              <w:tab w:val="right" w:pos="9739" w:leader="dot"/>
            </w:tabs>
            <w:rPr/>
          </w:pPr>
          <w:hyperlink w:anchor="__RefHeading___Toc2344_1773610119" w:tooltip="散势法鸷鸟">
            <w:r>
              <w:rPr>
                <w:rStyle w:val="Style12"/>
              </w:rPr>
              <w:t>散势法鸷鸟</w:t>
            </w:r>
            <w:r>
              <w:rPr>
                <w:rStyle w:val="Style12"/>
              </w:rPr>
              <w:tab/>
              <w:t>33</w:t>
            </w:r>
          </w:hyperlink>
        </w:p>
        <w:p>
          <w:pPr>
            <w:pStyle w:val="TOC1"/>
            <w:tabs>
              <w:tab w:val="clear" w:pos="9740"/>
              <w:tab w:val="right" w:pos="9739" w:leader="dot"/>
            </w:tabs>
            <w:rPr/>
          </w:pPr>
          <w:hyperlink w:anchor="__RefHeading___Toc2346_1773610119" w:tooltip="转圆法猛兽">
            <w:r>
              <w:rPr>
                <w:rStyle w:val="Style12"/>
              </w:rPr>
              <w:t>转圆法猛兽</w:t>
            </w:r>
            <w:r>
              <w:rPr>
                <w:rStyle w:val="Style12"/>
              </w:rPr>
              <w:tab/>
              <w:t>34</w:t>
            </w:r>
          </w:hyperlink>
        </w:p>
        <w:p>
          <w:pPr>
            <w:pStyle w:val="TOC1"/>
            <w:tabs>
              <w:tab w:val="clear" w:pos="9740"/>
              <w:tab w:val="right" w:pos="9739" w:leader="dot"/>
            </w:tabs>
            <w:rPr/>
          </w:pPr>
          <w:hyperlink w:anchor="__RefHeading___Toc2348_1773610119" w:tooltip="损兑法灵蓍">
            <w:r>
              <w:rPr>
                <w:rStyle w:val="Style12"/>
              </w:rPr>
              <w:t>损兑法灵蓍</w:t>
            </w:r>
            <w:r>
              <w:rPr>
                <w:rStyle w:val="Style12"/>
              </w:rPr>
              <w:tab/>
              <w:t>35</w:t>
            </w:r>
          </w:hyperlink>
          <w:r>
            <w:rPr>
              <w:rStyle w:val="Style12"/>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1756558214"/>
      <w:bookmarkStart w:id="2" w:name="_Toc11865"/>
      <w:bookmarkStart w:id="3" w:name="_Toc153345581"/>
      <w:bookmarkStart w:id="4" w:name="_Toc30321382"/>
      <w:bookmarkStart w:id="5" w:name="_Toc47593226"/>
      <w:bookmarkStart w:id="6" w:name="_Toc107271697"/>
      <w:bookmarkStart w:id="7" w:name="_Toc30321428"/>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（权宜、变通）</w:t>
      </w:r>
      <w:r>
        <w:rPr>
          <w:rFonts w:ascii="华文宋体" w:hAnsi="华文宋体" w:eastAsia="华文宋体"/>
          <w:color w:val="000000"/>
        </w:rPr>
        <w:t>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考察权宜（变通）并估量才能，比较技巧上谁优谁劣。</w:t>
      </w:r>
    </w:p>
    <w:p>
      <w:pPr>
        <w:pStyle w:val="Normal"/>
        <w:ind w:firstLine="420"/>
        <w:rPr>
          <w:rFonts w:ascii="华文宋体" w:hAnsi="华文宋体" w:eastAsia="华文宋体"/>
        </w:rPr>
      </w:pPr>
      <w:r>
        <w:rPr>
          <w:rFonts w:ascii="华文宋体" w:hAnsi="华文宋体" w:eastAsia="华文宋体"/>
          <w:b/>
          <w:bCs/>
          <w:color w:val="000000"/>
        </w:rPr>
        <w:t>夫</w:t>
      </w:r>
      <w:r>
        <w:rPr>
          <w:rFonts w:ascii="华文宋体" w:hAnsi="华文宋体" w:cs="Lucida Sans" w:eastAsia="华文宋体"/>
          <w:color w:val="7F7F7F"/>
          <w:kern w:val="2"/>
          <w:sz w:val="15"/>
          <w:szCs w:val="15"/>
          <w:lang w:val="en-US" w:eastAsia="zh-CN" w:bidi="hi-IN"/>
        </w:rPr>
        <w:t>（所有的，大家。相当于“凡”）</w:t>
      </w:r>
      <w:r>
        <w:rPr>
          <w:rFonts w:ascii="华文宋体" w:hAnsi="华文宋体" w:eastAsia="华文宋体"/>
          <w:color w:val="000000"/>
        </w:rPr>
        <w:t>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凡贤良与不肖，智慧与愚笨，勇敢和怯懦上有差异的。可以捭，也可以阖；可以擢进，也可以黜退；可以轻视，也可以敬重，要顺应自然规律去主导他们。考察（一个人）是否真具备某种能力或品质，那么要依据其行为；追随并顺应他的喜好与欲望，从而观察他的意志。稍微驳斥一下其言论，捭出真话后再加以反对，以求弄清其实情，重视得其主旨；先“关门”后“开启”，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的开门展示，有的关门闭藏。开门展示，是为了使对方产生共情；关门闭藏，是为了考察对方的诚意。可行与不可行，需审查清楚对方的计谋，以洞察双方意见相同或不相同的根源。（无论）分开和结合都要有操守，可以先按对方的意志去办。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度数</w:t>
      </w:r>
      <w:r>
        <w:rPr>
          <w:rFonts w:ascii="华文宋体" w:hAnsi="华文宋体" w:eastAsia="华文宋体"/>
          <w:color w:val="7F7F7F"/>
          <w:sz w:val="15"/>
          <w:szCs w:val="15"/>
        </w:rPr>
        <w:t>（计算，推测）</w:t>
      </w:r>
      <w:r>
        <w:rPr>
          <w:rFonts w:ascii="华文宋体" w:hAnsi="华文宋体" w:eastAsia="华文宋体"/>
          <w:color w:val="000000"/>
        </w:rPr>
        <w:t>，圣人因而为之虑。其不</w:t>
      </w:r>
      <w:r>
        <w:rPr>
          <w:rFonts w:ascii="华文宋体" w:hAnsi="华文宋体" w:eastAsia="华文宋体"/>
          <w:b/>
          <w:bCs/>
          <w:color w:val="000000"/>
        </w:rPr>
        <w:t>中</w:t>
      </w:r>
      <w:r>
        <w:rPr>
          <w:rFonts w:ascii="华文宋体" w:hAnsi="华文宋体" w:eastAsia="华文宋体"/>
          <w:color w:val="7F7F7F"/>
          <w:sz w:val="15"/>
          <w:szCs w:val="15"/>
        </w:rPr>
        <w:t>（合于；符合）</w:t>
      </w:r>
      <w:r>
        <w:rPr>
          <w:rFonts w:ascii="华文宋体" w:hAnsi="华文宋体" w:eastAsia="华文宋体"/>
          <w:color w:val="000000"/>
        </w:rPr>
        <w:t>权衡</w:t>
      </w:r>
      <w:r>
        <w:rPr>
          <w:rFonts w:ascii="华文宋体" w:hAnsi="华文宋体" w:eastAsia="华文宋体"/>
          <w:b/>
          <w:color w:val="000000"/>
        </w:rPr>
        <w:t>度数</w:t>
      </w:r>
      <w:r>
        <w:rPr>
          <w:rFonts w:ascii="华文宋体" w:hAnsi="华文宋体" w:eastAsia="华文宋体"/>
          <w:color w:val="7F7F7F"/>
          <w:sz w:val="15"/>
          <w:szCs w:val="15"/>
        </w:rPr>
        <w:t>（测算）</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用捭的人，是为了预料对方的实情；用阖的人，是为了联结对方的真诚。都看明白后，当权衡轻重，然后再为之测度，圣智之人因而为之考虑。当不符合权衡测度时，圣智之人因而只能自行考虑退路了。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用捭，有的使其能够暴露出真情实感，有的使其吐露决策被我们吸取；用阖，有的对其进行抑制以便顺利起用他，有的对其进行抑制以便抛弃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关住它，控制它以产生差异。</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当适宜。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阖之法，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67234267"/>
      <w:bookmarkStart w:id="10" w:name="_Toc153345582"/>
      <w:bookmarkStart w:id="11" w:name="_Toc2372"/>
      <w:bookmarkStart w:id="12" w:name="_Toc47593227"/>
      <w:bookmarkStart w:id="13" w:name="_Toc30321429"/>
      <w:bookmarkStart w:id="14" w:name="_Toc30321383"/>
      <w:bookmarkStart w:id="15" w:name="_Toc859951715"/>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化育万物的人，是与无形而又无处不在的“道”共生的。返回去观察历史，再来验证未来；返回去了解过去，再来了解现在；返回去了解他人，再来了解自我。动与静、虚与实的规律，如果与今天不相符合，就返回历史中去寻求答案。事情能通过反向思考、反复验证而得以查核，这是圣智之人的用心所在，不可不深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是动；自己沉默倾听，是静。透过其说的话，听其话语中的用词。如果发现对方说的话中有前后矛盾或不合情理的地方，可通过反驳的方式去追问，从他的反应中必定能探出真情。说话可以摹拟，事情可以譬喻。当有“象”和“比”的手法，那么就要观察其中的意思。所谓“象”，就是以摹拟的方式形容事物，所谓“比”，就是以譬喻的方式表达言辞。通过使用无形的方式去探求别人言辞中的隐含意图，用来“钓”别人的话契合事情原委，就能探得对方的实际情况。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说话或不亲近我们，就要改变谈话的方式。用“象”的手法来使对方开口，以此走进其心；使他显露内情，随后主导对方。自己在和对方经过这样多次反复之后，说话中有象比，因而确定后面游说的根据。首先自己的言谈举止要十分谨慎，不要轻易暴露自己的意图；其次通过突然发问的方式不给对方任何巧言令色、掩盖事实的机会；然后在谈话过程中不时的反驳对方话语中有前后矛盾或不合情理的地方，以探求内情；最后要不时的采取顺从谈话对手的方式，已查核出导致他话语中出现自相矛盾内容的原因。任何事情像这样进行探究，都可以通过言辞获知内情。圣智之人用这种方法引导愚者或智者，任何事情都毫无疑惑。那善于通过“反听”探查对方的人，通常能够用鬼神莫测的手段来获得内情。他们应变得当，能详尽地主导对方。如果不能详尽主导对方，是因为从对方获得的内情不明了；获得的内情不明了，决定的基础就不稳定。</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这样对方一定有“反应”的言辞，则回过头来倾听。想要听对方讲话，自己反而要先沉默；想让对方膨胀，自己反而要先收敛；想让抬高对方，自己反而要先谦下；想从对方那里有所获取，自己反而要先给予对方好处。想要了解对方的内情，就要善于运用模拟和类比的方法，主导对方的言辞。声音相同，就会互相呼应；事实合理，就会一同返回。</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这就要分辨真伪，了解异同，从而得到内情或诡诈之处。动作、言语、口气与预先确定的会有差异，喜悦与愤怒则由预先确定的来显现其形式，所有这一切都以预先确定的方式作为法则。用“反”寻求查核，然后观察其寄托。那用这种方法，自己要心平气和，以便能听取对方的言辞，考察事情，论说万物，辨别事物性质。即使是从对方言辞里无关紧要的事件中，也可以通过观察细微迹象推断同类事物本质。运用这些方法去探测别人就好像钻到他心中探测一样，可以准确地估计出他的能力，猜测出他的本意。符应不落空，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了解他人要从了解自己开始，只有了解自己而后才能了解他人。这互相了解，就像比目鱼相并而行般一丝不差。这显露形态，就像阳光之下显露影子一样。当考察对方的言辞，也会不失毫厘地捕捉到对方的真实意图，就像用磁石取针，用舌头来获取焦骨上的肉一样万无一失。当与人交往时，不露声色；当发现内情时，又快又准。如同阴与阳，圆与方般明显。当对方形迹未显时，我们要用圆通灵活的手法去引导他；当对方形迹已显时，我们就要按照设定好的谋略去应对他。无论是自己进退还是左右他人，都可以用这种方式去掌握。自己不事先确定策略，就不能正确地主导他人，再加上做事没有技巧，是为“忘记真情、丢失规律”。自己首先要审慎并预先确定策略，再以此来主导他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908579548"/>
      <w:bookmarkStart w:id="18" w:name="_Toc30321384"/>
      <w:bookmarkStart w:id="19" w:name="_Toc30321430"/>
      <w:bookmarkStart w:id="20" w:name="_Toc153345583"/>
      <w:bookmarkStart w:id="21" w:name="_Toc11519"/>
      <w:bookmarkStart w:id="22" w:name="_Toc47593228"/>
      <w:bookmarkStart w:id="23" w:name="_Toc1644679059"/>
      <w:bookmarkEnd w:id="16"/>
      <w:r>
        <w:rPr>
          <w:rFonts w:ascii="华文宋体" w:hAnsi="华文宋体" w:eastAsia="华文宋体"/>
          <w:b w:val="false"/>
          <w:bCs w:val="false"/>
          <w:color w:val="000000"/>
        </w:rPr>
        <w:t>内</w:t>
      </w:r>
      <w:bookmarkEnd w:id="17"/>
      <w:bookmarkEnd w:id="18"/>
      <w:bookmarkEnd w:id="19"/>
      <w:bookmarkEnd w:id="20"/>
      <w:bookmarkEnd w:id="21"/>
      <w:bookmarkEnd w:id="22"/>
      <w:bookmarkEnd w:id="23"/>
      <w:r>
        <w:rPr>
          <w:rFonts w:ascii="华文宋体" w:hAnsi="华文宋体" w:eastAsia="华文宋体"/>
          <w:b w:val="false"/>
          <w:bCs w:val="false"/>
          <w:color w:val="000000"/>
        </w:rPr>
        <w:t>楗</w:t>
      </w:r>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内楗</w:t>
      </w:r>
      <w:r>
        <w:rPr>
          <w:rFonts w:ascii="华文宋体" w:hAnsi="华文宋体" w:eastAsia="华文宋体"/>
          <w:color w:val="7F7F7F"/>
          <w:sz w:val="15"/>
          <w:szCs w:val="15"/>
        </w:rPr>
        <w:t>（内：同“纳”，收入；接受。楗：遏制，堵塞。纳谏，向君主进言劝谏）</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留下来却得不到任用，有的离开了却被四处诏求。有的天天都出现在君主面前却不能驾驭，有的只是遥闻其名便被君主日夜思念，凡事都有进言和劝谏，源于平素的交结。有的靠道德相联结，有的靠朋党相联结，有的靠财货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内者，进说辞也；楗者，楗</w:t>
      </w:r>
      <w:r>
        <w:rPr>
          <w:rFonts w:ascii="华文宋体" w:hAnsi="华文宋体" w:eastAsia="华文宋体"/>
          <w:b/>
          <w:bCs/>
          <w:color w:val="000000"/>
        </w:rPr>
        <w:t>所</w:t>
      </w:r>
      <w:r>
        <w:rPr>
          <w:rFonts w:ascii="华文宋体" w:hAnsi="华文宋体" w:cs="Lucida Sans" w:eastAsia="华文宋体"/>
          <w:color w:val="7F7F7F"/>
          <w:kern w:val="2"/>
          <w:sz w:val="15"/>
          <w:szCs w:val="15"/>
          <w:lang w:val="en-US" w:eastAsia="zh-CN" w:bidi="hi-IN"/>
        </w:rPr>
        <w:t>（宜，适宜的，为其所需的）</w:t>
      </w:r>
      <w:r>
        <w:rPr>
          <w:rFonts w:ascii="华文宋体" w:hAnsi="华文宋体" w:eastAsia="华文宋体"/>
          <w:color w:val="000000"/>
        </w:rPr>
        <w:t>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方来</w:t>
      </w:r>
      <w:r>
        <w:rPr>
          <w:rFonts w:ascii="华文宋体" w:hAnsi="华文宋体" w:eastAsia="华文宋体"/>
          <w:color w:val="7F7F7F"/>
          <w:sz w:val="15"/>
          <w:szCs w:val="15"/>
        </w:rPr>
        <w:t>（将来）</w:t>
      </w:r>
      <w:r>
        <w:rPr>
          <w:rFonts w:ascii="华文宋体" w:hAnsi="华文宋体" w:eastAsia="华文宋体"/>
          <w:color w:val="000000"/>
        </w:rPr>
        <w:t>应时，以合其谋。详思来楗，往应时当也。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进游说之辞；所谓“楗”就是谏其所需的谋划。想要游说君主，务必先悄悄地揣测君主的心意；谋划事情的时候，务必顺从君主的心意。暗中分析我们的言辞是否符合时宜，向君主公开言明谋划的优劣得失，以此来迎合君主的心意。将来顺应时机，以使谋划与君主的心意契合。详细地思考后再回来劝谏，让下一步的谋划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取楗。言往者，先顺辞也；说来者，以变言也。善变者，审知地势，乃通于天，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提示）进言有不合君主心意的地方，就不可付诸实施。这时就要估量当前最急迫的形势，从有利于君主的角度出发，以求其改变。以变通的方式来谋求进言的人，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内情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。得其情，乃制其术。此用可出可入，可楗可开。故圣人立事，以此先知而楗</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留下来却得不到重用，是因为他的策略没有实际效果；离开君主却反而被诏求，是因为他所谋划的事后来应验了。每天都能出入在君主面前却不能驾驭，是因为其措施不合君主之意；距离遥远只听到名声就被君主思念，是因为其谋划与君主相符合，君主正等待他前来决断大事。所以说：还没有找到双方类似之处就去游说的人，一定会事与愿违；在还没掌握对方内情的时候就去游说，一定会受到非难。只有获得对方的内情，才能够把握内键之术。如此运用这种方法，可以出世、可以入世；可以劝谏、可以离开。那圣智之人做事情，都是预先知晓情况，而后才能劝谏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进言；如果决定远离君主，就要到外部为其效力。无论是到外部去为其效力还是进言，都必须明白其中的规律和技巧，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，曰楗而内合。上暗不治，下乱不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，楗而反之。内自得而外不留，</w:t>
      </w:r>
      <w:r>
        <w:rPr>
          <w:rFonts w:ascii="华文宋体" w:hAnsi="华文宋体" w:eastAsia="华文宋体"/>
          <w:b w:val="false"/>
          <w:bCs w:val="false"/>
          <w:color w:val="000000"/>
        </w:rPr>
        <w:t>说</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劝谏并进言使结合。如果上面昏暗不能治理政务，下面作乱却不能觉悟，就要劝谏使他返归正道。如果碰到志得意满、刚愎自用到对外来道理或建议排斥不进的，游说但恭维他。如果有君主亲自颁发命令来召己，就要先迎合再设法逐步驾驭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69724352"/>
      <w:bookmarkStart w:id="26" w:name="_Toc30321385"/>
      <w:bookmarkStart w:id="27" w:name="_Toc30321431"/>
      <w:bookmarkStart w:id="28" w:name="_Toc153345584"/>
      <w:bookmarkStart w:id="29" w:name="_Toc47593229"/>
      <w:bookmarkStart w:id="30" w:name="_Toc13255"/>
      <w:bookmarkStart w:id="31" w:name="_Toc1557920471"/>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万物有其自然发展规律，事情有其聚散离合的法则。有的近在身边却难以看透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考察其言辞；距离很远却能了解得很清楚，是（因为）能够返观历史，以验证将来。巇，也就是小的裂缝；小的裂缝不管，就会发展成中等裂缝；中等裂缝不堵，就会发展成大的裂缝。小的裂缝刚出现迹象时，通过“抵”使其闭塞，通过“抵”使其缩小，通过“抵”使其停止，通过“抵”使其隐匿，通过“抵”进行取代，这就是用“抵”处理缝隙的原理。</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的危险，圣智之人洞察后，将采取措施保全其自身。（他们）顺应变化来谈论事情，通达应对的计谋，以识别细微的征兆。经常初起时如秋毫之末般微小，发展起来却可以撼动泰山的根基。当向外施行时，在罅隙尚处于萌芽状态时就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会谗害良善，贤能之人也不会被任用。圣智之人逃匿躲藏起来，贪图利益、诡诈虚伪的人兴风作浪，君臣之间互相猜疑，（国家纲纪）土崩瓦解并导致各种势力互相攻战杀伐，父子离散不合，彼此反目成仇。这些就叫作 “轻微的裂痕” 。圣智之人看到轻微的裂痕时，就会采取法制来“抵”。当世道可以治理，就通过“抵”的方式堵塞漏洞。如果世道不可治理，就通过“抵”的方式取而代之。或用这种方法“抵”，或用那种手法“抵”；或通过“抵”使其恢复原状，或通过 “抵” 将其颠覆重塑。五帝时代的政治，是以“抵”的方式堵塞漏洞。三王时代的政治，是以“抵”的方式进行取代。（现今）诸侯之间互相使用“抵”，其次数之多已无法统计。当此之时，能用“抵”者为高。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的合离、终始以来，必定有裂缝伴随，不可不留心观察。用捭阖之术去明察世道，又能运用“抵”来解决问题的，就是圣智之人。所谓圣智之人，乃是天地的使者。假如世间没有裂缝需要“抵”，就隐居起来等待时机；当世间出现裂缝需要“抵”时，就对出现的裂缝进行谋划。这种方法可以用于结交上面，也可以用于约束下面；能够顺应和遵循（自然规律），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1943437535"/>
      <w:bookmarkStart w:id="34" w:name="_Toc30321386"/>
      <w:bookmarkStart w:id="35" w:name="_Toc153345585"/>
      <w:bookmarkStart w:id="36" w:name="_Toc264642135"/>
      <w:bookmarkStart w:id="37" w:name="_Toc30321432"/>
      <w:bookmarkStart w:id="38" w:name="_Toc23349"/>
      <w:bookmarkStart w:id="39" w:name="_Toc47593230"/>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其形势、衡量其能力，所以要广泛收集或远或近的信息。确定形势而后裁决事情，必须先观察对方与自己的观点是否一致，辨别出对方言语中的是与非，看清对方言语中表面和背后的含义。识别对方是否具有办法决安危之计、定亲疏之事，然后再加以权衡和衡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w:t>
      </w:r>
      <w:r>
        <w:rPr>
          <w:rFonts w:ascii="华文宋体" w:hAnsi="华文宋体" w:eastAsia="华文宋体"/>
          <w:b/>
          <w:bCs/>
          <w:color w:val="000000"/>
        </w:rPr>
        <w:t>箝</w:t>
      </w:r>
      <w:r>
        <w:rPr>
          <w:rFonts w:ascii="华文宋体" w:hAnsi="华文宋体" w:cs="Lucida Sans" w:eastAsia="华文宋体"/>
          <w:color w:val="7F7F7F"/>
          <w:kern w:val="2"/>
          <w:sz w:val="15"/>
          <w:szCs w:val="15"/>
          <w:lang w:val="en-US" w:eastAsia="zh-CN" w:bidi="hi-IN"/>
        </w:rPr>
        <w:t>（夹住。箝，谓牵持缄束，令不得脱也）</w:t>
      </w:r>
      <w:r>
        <w:rPr>
          <w:rFonts w:ascii="华文宋体" w:hAnsi="华文宋体" w:eastAsia="华文宋体"/>
          <w:color w:val="000000"/>
        </w:rPr>
        <w:t>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箝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衡量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w:t>
      </w:r>
      <w:r>
        <w:rPr>
          <w:rFonts w:ascii="华文宋体" w:hAnsi="华文宋体" w:eastAsia="华文宋体"/>
          <w:b/>
          <w:bCs/>
          <w:color w:val="000000"/>
        </w:rPr>
        <w:t>飞箝</w:t>
      </w:r>
      <w:r>
        <w:rPr>
          <w:rFonts w:ascii="华文宋体" w:hAnsi="华文宋体" w:cs="Lucida Sans" w:eastAsia="华文宋体"/>
          <w:color w:val="7F7F7F"/>
          <w:kern w:val="2"/>
          <w:sz w:val="15"/>
          <w:szCs w:val="15"/>
          <w:lang w:val="en-US" w:eastAsia="zh-CN" w:bidi="hi-IN"/>
        </w:rPr>
        <w:t>（用言辞奉承对方使其受制于己的权术手段）</w:t>
      </w:r>
      <w:r>
        <w:rPr>
          <w:rFonts w:ascii="华文宋体" w:hAnsi="华文宋体" w:eastAsia="华文宋体"/>
          <w:color w:val="000000"/>
        </w:rPr>
        <w:t>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箝之术运用到天下，必须要推测其形势、衡量其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“箝”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（程度；限度）</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衡量对方的智慧和能力，权衡对方的才干，度量对方的气势，把对对方的充分了解作为与之相处的关键。去迎合他、追随他，用飞箝之术调和彼此的差距，以意志去疏导他，这就是用飞箝来联结。对人使用飞箝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但不能失去法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1249941778"/>
      <w:bookmarkStart w:id="42" w:name="_Toc1452349820"/>
      <w:bookmarkStart w:id="43" w:name="_Toc47593231"/>
      <w:bookmarkStart w:id="44" w:name="_Toc30321433"/>
      <w:bookmarkStart w:id="45" w:name="_Toc15496"/>
      <w:bookmarkStart w:id="46" w:name="_Toc153345586"/>
      <w:bookmarkStart w:id="47" w:name="_Toc30321387"/>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谋划要适合实际情况。事物的变化运转像圆环一样互相衔接，（每个环节）各有其发展形势；要反复从正面、反面仔细进行探求，根据事情（的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世上没有恒久的重视（对象），事情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估量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720891011"/>
      <w:bookmarkStart w:id="50" w:name="_Toc30321388"/>
      <w:bookmarkStart w:id="51" w:name="_Toc153345587"/>
      <w:bookmarkStart w:id="52" w:name="_Toc30321434"/>
      <w:bookmarkStart w:id="53" w:name="_Toc12517"/>
      <w:bookmarkStart w:id="54" w:name="_Toc1401013603"/>
      <w:bookmarkStart w:id="55" w:name="_Toc47593232"/>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形势的人，必定先衡量天下的政治形势，并且揣测诸侯的内情。衡量形势时不能做到详细，就不知道哪个诸侯国强大、哪个诸侯国弱小、哪个诸侯国不重要、哪个诸侯国重要；揣测内情时不能做到详细，就不能掌握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内情的人，必须在对方很高兴的时候，最大限度地刺激并满足他的欲望，当他有欲望的时候，就不能隐瞒住他的实情；必须在对方很恐惧的时候，最大限度地诱发他的憎恶，当他有憎恶的时候，就不能隐瞒住他的内情。内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内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揣测内情，一切谋划和思虑、内情和欲望的出发点就在于此。善于“揣情”的人，就可以让人富贵，就可以让人贫贱；就可以让人被重视，就可以让人被轻贱；就可以获得利益，就可以遭到损害；就可以让人成功，就可以让人失败，其是否掌握“揣情”是关键之一。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测内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614659360"/>
      <w:bookmarkStart w:id="58" w:name="_Toc47593233"/>
      <w:bookmarkStart w:id="59" w:name="_Toc27965"/>
      <w:bookmarkStart w:id="60" w:name="_Toc710633081"/>
      <w:bookmarkStart w:id="61" w:name="_Toc30321435"/>
      <w:bookmarkStart w:id="62" w:name="_Toc30321389"/>
      <w:bookmarkStart w:id="63" w:name="_Toc153345588"/>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仔细观察与内心活动相符合的外在反应，是揣测的主旨。运用“摩”有一定的规律，就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真情，而别人不知道我们对他实施摩术，故而达到探测对方内心的目的而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技巧。这叫作客观规律、行动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内情相合，所以说：与内情相合便会听从。故而世上的事物都是物以类聚，抱起柴草扔进火中，干燥的先被点燃；在平坦的地面倒水，湿润的地方先积水。这就是事物以类而应的道理，在情势上也是这样的。这里是说要仔细观察与内心活动相符合的外在反应，对外在反应的摩也要像这样。所以说：用以类相从的方式去摩，焉有不相呼应的？若顺着对方的欲望去摩，焉有不听从的？所以说这是独行天下的方法。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1948308334"/>
      <w:bookmarkStart w:id="66" w:name="_Toc585797414"/>
      <w:bookmarkStart w:id="67" w:name="_Toc30321390"/>
      <w:bookmarkStart w:id="68" w:name="_Toc153345589"/>
      <w:bookmarkStart w:id="69" w:name="_Toc1178"/>
      <w:bookmarkStart w:id="70" w:name="_Toc30321436"/>
      <w:bookmarkStart w:id="71" w:name="_Toc475932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为了说服别人；要说服别人，就要帮助到别人。修饰言辞，是为了借助言辞的力量；要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复，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倾吐和遮蔽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用口说出的话，是有忌讳的。所谓“众口铄金”，就是语言往往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（权力；权势）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，与贫者言依于利，与贱者言依于谦，与勇者言依于敢，与愚者言依于锐。此其术也，而人常反之。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神气衰弱，精神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它才可以很好运用，对自己有利才能施行。所以游说智慧的人要靠博识多闻的言辞，游说博识多闻的人要靠条理明晰的言辞，游说明晰事理的人要依靠要点明确的言辞，游说达官贵人要围绕权势来进行，游说富人时要以尊重的态度，游说贫穷的人要从利益方面入手，游说卑贱的人要态度谦和，游说勇敢的人要果敢有力，游说愚蠢的人要靠锐利（十分明确，毫不含糊）的言辞。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述道理；与愚笨的人谈话时，就要把这些方法教给他，然而事实上很难做到。所以谈话要多谈些共同话题，做事要多运用权变。因此即使整日谈话也不会失去共同话题，因此这个谈话过程不会混乱。整日不运用权变，也不会偏离谈话的主题。所以聪明贵在不轻举妄动，听事情贵在于心思灵敏，智慧贵在能够了解和看清楚事物，说辞、辩辞贵在出其不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224311797"/>
      <w:bookmarkStart w:id="74" w:name="_Toc153345590"/>
      <w:bookmarkStart w:id="75" w:name="_Toc30321437"/>
      <w:bookmarkStart w:id="76" w:name="_Toc30321391"/>
      <w:bookmarkStart w:id="77" w:name="_Toc20293"/>
      <w:bookmarkStart w:id="78" w:name="_Toc47593235"/>
      <w:bookmarkStart w:id="79" w:name="_Toc1911504720"/>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划都具有一定的规律，必须要得到的事情的起因，以探求其中的内情。详细探得其内情，继而制定三种策略。所谓三种策略，是为上策、中策、下策。将这三种策略互相参验，相互吸收互补，以制定出解决问题的奇策良谋来。真正的奇策良谋不应该让人感觉有所壅塞或阻挡，这个设计原则从古代开始就已经被人们所遵从。所以郑国人到山里去采玉时，必定带着能指示方向的司南车，为的是不迷失方向。这忖度对方的才干，衡量对方的能力，揣测对方的内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（规律；法则）</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也，此所以察异同之分也。故墙坏于其隙，木毁于其节，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如果两个人志同道合且关系亲密，那是因为合作对双方都有利（比如盟友共同抗敌）；如果两个人有相同的目标却关系疏远，那是因为合作会导致一方受损（比如两个皇子争皇位，无法共存）；如果两个人因为共同的敌人而联合，那是因为双方都面临危险（比如战国六国合纵抗秦）；如果两个人有共同的威胁却不合作，那是因为一方觉得自己受损更小（比如某些国家面对强敌时选择投降自保）。所以双方交往得到增益则会相互亲近，双方交往受到损害则会导致疏远。其规律贯穿在内，这是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有仁德的人不看重财货，不能用利益去诱惑他，可以让他出资资助；勇敢的人轻视危难，不能用祸患去恐吓他，可以让他去据守危险之地；智者通达于道数，明白事理，不能用欺诈手段去欺骗他，可以向他讲明道理，可以让他建功立业，这就是所谓仁人、勇士、智者的“三才”。所以愚昧的人容易被蒙蔽，不肖的人容易被恐吓，贪婪的人容易被诱惑，根据事情来裁决。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说辞；要顺着对方的表现去肯定他；要顺着对方的言辞来迎合他；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拿别人不喜欢的东西强加于人，不要拿别人不了解的事去说教别人。如果对方有某种嗜好，就要效仿并顺应；如果对方有厌恶什么，就要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那可以将机密大事托付给他。（在用人方面，）可以了解的人，可以用；不可以了解的人，有谋划的人是不会用他的。所以说，做任何事崇尚制约别人，而不崇尚显露自己后被别人所制约。制约住了别人，就掌握了主动权；显露自己后被别人所制约，别人就会制约自己的命运。所以圣智之人谋划遵循“隐而不露”，愚蠢之人谋划遵循“大肆张扬”。有智慧的人做事比较容易成功，而没有智慧的人想把事做成功就比较困难。由此看来，一旦国家灭亡了就很难再图存，而且一旦国家出现动荡就很难再图安定，这从另一方面说明顺应自然规律且崇尚智慧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（箭所能及的范围）</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（诱，引也）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控制方法，在于隐匿不露。”这不仅要求忠信、仁义，还必须中正罢了！处理事情的办法通达于这里面的意思，则可以与之谈论（智慧）。听从并能够具备这个，则可使远近范围被引导。</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720541667"/>
      <w:bookmarkStart w:id="83" w:name="_Toc662898066"/>
      <w:bookmarkStart w:id="84" w:name="_Toc47593236"/>
      <w:bookmarkStart w:id="85" w:name="_Toc30321392"/>
      <w:bookmarkStart w:id="86" w:name="_Toc30321438"/>
      <w:bookmarkStart w:id="87" w:name="_Toc153345591"/>
      <w:bookmarkStart w:id="88" w:name="_Toc6958"/>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是决策事情，必定依托于当下的疑虑；好的决策能带来幸福，不好的决策会带来祸患。好的决策一定要诱导对方讲出其内心的真实想法，最终使我们行动起来时没有任何迷惑和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决策之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一语双关），令人摸不透真意；再配合平素的交往以及关键时刻的应变，此四者都要微妙地加以综合运用。于是用过去的经验作为推测，来验证未来事情的发展趋势，再参考平素发生的案例，可行的话就做出决策。为王公大人谋划事情，有危险但事情成功后能获得美好名声的事情，只要可行，则可以做出决策；不用耗费大的气力和精力就容易获得成功的事情，只要可行，则可以做出决策；有些事情虽然费力勤苦，然而却不得已得这样干的事情，只要可行，则可以做出决策；能排除忧患的事情，只要可行，则可以做出决策；能带来幸福的事情，只要可行，则可以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所以这决策内情、平定疑难，是处理一切事情的基础。以公正（的态度）来治理乱世，决定着事业的成败，是不好办的。所以古代帝王才采用蓍草和龟甲占卜的方式，以帮助自己做决策。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940007052"/>
      <w:bookmarkStart w:id="91" w:name="_Toc30321393"/>
      <w:bookmarkStart w:id="92" w:name="_Toc47593237"/>
      <w:bookmarkStart w:id="93" w:name="_Toc30321439"/>
      <w:bookmarkStart w:id="94" w:name="_Toc22821"/>
      <w:bookmarkStart w:id="95" w:name="_Toc1459315182"/>
      <w:bookmarkStart w:id="96" w:name="_Toc15334559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安详、从容、中正、宁静，柔和有礼且注重安定自身，和善地与人交往并且不同人相争，空虚思想、平和志向，对待事情能够中正。以上帮助君主居君位！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容易丧失主见，抗拒拒绝则容易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中正。赏赐讲信用、刑罚讲中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内部和外界闭塞不通，怎么知道从何处打开局面呢？不善于捭阖，就不能看清事情的原委。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一为看得远，二为听得远，三为具备明察事物的能力。能够了解千里之外、隐微之中的情况，这就叫做洞悉（清楚地知道）。这样一来，天下的奸邪就都会暗自变更意图不轨的想法。以上帮助君主参验天下！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为实情；名分和实际相当则天下大治，不相当则天下大乱。所以说：名分和实际相当则产生于实际，实际产生于道理，道理产生于名分和实际的契合，契合产生于和谐，和谐产生于相当。以上帮助君主恰当地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9" w:name="__RefHeading___Toc2332_1773610119"/>
      <w:bookmarkStart w:id="100" w:name="_Toc250844796"/>
      <w:bookmarkStart w:id="101" w:name="_Toc1194849932"/>
      <w:bookmarkStart w:id="102" w:name="_Toc2528"/>
      <w:bookmarkStart w:id="103" w:name="_Toc47593238"/>
      <w:bookmarkStart w:id="104" w:name="_Toc30321440"/>
      <w:bookmarkStart w:id="105" w:name="_Toc153345593"/>
      <w:bookmarkStart w:id="106" w:name="_Toc30321394"/>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转丸的运用，圣智之人隐逸之。大概是因为人情世故、顺境逆境的变化，将聪慧灵巧寄托于无形。然而想要改变的人多，成功克服困难的人很少，所以圣智之人没有话说了。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（成就）</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（平定；估定）</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形势如果不能成就，等待畜养一段时间后再作平定；时机没有满足，安静地加以等候。积蓄恩德去营造形势，如同执形可以驱影，动必有应，行必有随，转丸如同戏耍一样。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8" w:name="__RefHeading___Toc2334_1773610119"/>
      <w:bookmarkStart w:id="109" w:name="_Toc1342299349"/>
      <w:bookmarkStart w:id="110" w:name="_Toc30321395"/>
      <w:bookmarkStart w:id="111" w:name="_Toc2240"/>
      <w:bookmarkStart w:id="112" w:name="_Toc153345594"/>
      <w:bookmarkStart w:id="113" w:name="_Toc47593239"/>
      <w:bookmarkStart w:id="114" w:name="_Toc30321441"/>
      <w:bookmarkStart w:id="115" w:name="_Toc11785462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世人对世事没有深刻的认识，也没有做相应的防备，因此到处乱象丛生。修炼积累多年，常常忧虑会毁于一旦，人很少能够防备。善防备者在面临危乱时不会忧虑，应付紧急情况最为困难，故称为“却乱”。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所谓乱，就是失去条理，诸事颠倒，毁了形势困住了自身。却，就是消解约束，化解并消融阻塞，急迫之时的运用。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其变化无穷，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人，被形象所迷，被道理所惑，被外表所蔽，被内里所困；（看透）表象靠视觉，（通达）条理靠知觉。通过欺瞒的的手段制造视听、用动听的言语和伪善的面目取悦于人、各种利益托付，事理无非是奔走钻营。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外表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6" w:name="__RefHeading___Toc1620_2803666824_副本_1_副"/>
      <w:bookmarkStart w:id="117" w:name="_Toc1482718402_副本_1"/>
      <w:bookmarkStart w:id="118" w:name="_Toc30321403_副本_1"/>
      <w:bookmarkStart w:id="119" w:name="_Toc30321449_副本_1"/>
      <w:bookmarkStart w:id="120" w:name="_Toc47593240_副本_1_副本_1"/>
      <w:bookmarkStart w:id="121" w:name="_Toc1495_副本_1"/>
      <w:bookmarkStart w:id="122" w:name="_Toc1406991709_副本_1"/>
      <w:bookmarkStart w:id="123" w:name="_Toc153345595_副本_1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4" w:name="__RefHeading___Toc1622_2803666824_副本_1_副"/>
      <w:bookmarkStart w:id="125" w:name="_Toc178184531_副本_1"/>
      <w:bookmarkStart w:id="126" w:name="_Toc30321450_副本_1"/>
      <w:bookmarkStart w:id="127" w:name="_Toc76662972_副本_1"/>
      <w:bookmarkStart w:id="128" w:name="_Toc17765_副本_1"/>
      <w:bookmarkStart w:id="129" w:name="_Toc30321404_副本_1"/>
      <w:bookmarkStart w:id="130" w:name="_Toc47593241_副本_1_副本_1"/>
      <w:bookmarkStart w:id="131" w:name="_Toc153345596_副本_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依据（人性）规律；而拯救他人于拘泥固执的人，能够豢养、驱使小人。士人在世道动乱、时局危急时，或许应当凭借智慧免遭坑害；或许应当戕害能够直言者；或许应当放弃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所以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技巧，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所以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法并检验他的技能，然后惊叹他的奇才异能，对方就会与自己心连心。在别人面前摹仿他，以他过去的成功案例作为证据，任意地拿一两件出来摆在别人面前，他悟到后就会更加诚心地归附于自己。遇到放纵酒色的人，就要对他采用一些方法；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2" w:name="__RefHeading___Toc2336_1773610119"/>
      <w:bookmarkStart w:id="133" w:name="_Toc1773995429"/>
      <w:bookmarkStart w:id="134" w:name="_Toc30321396"/>
      <w:bookmarkStart w:id="135" w:name="_Toc30321442"/>
      <w:bookmarkStart w:id="136" w:name="_Toc9755"/>
      <w:bookmarkStart w:id="137" w:name="_Toc153345597"/>
      <w:bookmarkStart w:id="138" w:name="_Toc715452631"/>
      <w:bookmarkStart w:id="139" w:name="_Toc47593242"/>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40" w:name="__RefHeading___Toc2338_1773610119"/>
      <w:bookmarkStart w:id="141" w:name="_Toc841495716"/>
      <w:bookmarkStart w:id="142" w:name="_Toc192592109"/>
      <w:bookmarkStart w:id="143" w:name="_Toc22664"/>
      <w:bookmarkStart w:id="144" w:name="_Toc30321443"/>
      <w:bookmarkStart w:id="145" w:name="_Toc47593243"/>
      <w:bookmarkStart w:id="146" w:name="_Toc30321397"/>
      <w:bookmarkStart w:id="147" w:name="_Toc153345598"/>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虚弱；志向丧失且心意虚弱，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8" w:name="__RefHeading___Toc2340_1773610119"/>
      <w:bookmarkStart w:id="149" w:name="_Toc534766007"/>
      <w:bookmarkStart w:id="150" w:name="_Toc30321444"/>
      <w:bookmarkStart w:id="151" w:name="_Toc153345599"/>
      <w:bookmarkStart w:id="152" w:name="_Toc47593244"/>
      <w:bookmarkStart w:id="153" w:name="_Toc22646"/>
      <w:bookmarkStart w:id="154" w:name="_Toc30321398"/>
      <w:bookmarkStart w:id="155" w:name="_Toc2022631712"/>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明白了万物的创造和演化，了解阴阳的终而复始，推究出人间事物的政治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6" w:name="__RefHeading___Toc2342_1773610119"/>
      <w:bookmarkStart w:id="157" w:name="_Toc1710013847"/>
      <w:bookmarkStart w:id="158" w:name="_Toc153345600"/>
      <w:bookmarkStart w:id="159" w:name="_Toc30321399"/>
      <w:bookmarkStart w:id="160" w:name="_Toc30321445"/>
      <w:bookmarkStart w:id="161" w:name="_Toc12026"/>
      <w:bookmarkStart w:id="162" w:name="_Toc1490294709"/>
      <w:bookmarkStart w:id="163" w:name="_Toc47593245"/>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见的。详究于彼此的一唱一和，通过隐而不见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知道稳固和充实自己的，是懂得自我修养的人；谦让己身的，是懂得教养他人的人。所以能够做到精神长存而进击之势毫不显现，才是可为的形势。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4" w:name="__RefHeading___Toc2344_1773610119"/>
      <w:bookmarkStart w:id="165" w:name="_Toc1470570454"/>
      <w:bookmarkStart w:id="166" w:name="_Toc5302"/>
      <w:bookmarkStart w:id="167" w:name="_Toc1172803545"/>
      <w:bookmarkStart w:id="168" w:name="_Toc153345601"/>
      <w:bookmarkStart w:id="169" w:name="_Toc30321400"/>
      <w:bookmarkStart w:id="170" w:name="_Toc47593246"/>
      <w:bookmarkStart w:id="171" w:name="_Toc30321446"/>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内盛，推间而行之，则势散。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散除势力，是由精神使唤的。运用此法，一定要循着对方的空隙而行动。威力迅速地在内心积聚至旺盛，再顺着对方的空隙而施行，则对方的势力可以散除。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（衡量）</w:t>
      </w:r>
      <w:r>
        <w:rPr>
          <w:rFonts w:ascii="华文宋体" w:hAnsi="华文宋体" w:eastAsia="华文宋体"/>
          <w:b/>
          <w:bCs/>
        </w:rPr>
        <w:t>数</w:t>
      </w:r>
      <w:r>
        <w:rPr>
          <w:rFonts w:ascii="华文宋体" w:hAnsi="华文宋体" w:eastAsia="华文宋体"/>
          <w:color w:val="7F7F7F"/>
          <w:sz w:val="15"/>
          <w:szCs w:val="13"/>
        </w:rPr>
        <w:t>（数，计也。谋划）</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这散除势力，思想要虚空且志向要充溢。意愿衰弱则威力丧失，精力和精神不专一，其表现在外的言语就会多变。所以要看对方的意志进行衡量谋划，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2" w:name="__RefHeading___Toc2346_1773610119"/>
      <w:bookmarkStart w:id="173" w:name="_Toc1210226060"/>
      <w:bookmarkStart w:id="174" w:name="_Toc30321447"/>
      <w:bookmarkStart w:id="175" w:name="_Toc8986"/>
      <w:bookmarkStart w:id="176" w:name="_Toc153345602"/>
      <w:bookmarkStart w:id="177" w:name="_Toc47593247"/>
      <w:bookmarkStart w:id="178" w:name="_Toc1880000984"/>
      <w:bookmarkStart w:id="179" w:name="_Toc30321401"/>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（才能）</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转为圆通，（将产生）无穷的计谋。无穷（地产生）计谋，必须具有圣智之人的思想，以推究出不可估量的智慧，才能通达思想的方法。而精神引导混沌为“一”，用变化的角度看待万物，所说的语义就会无穷。</w:t>
      </w:r>
    </w:p>
    <w:p>
      <w:pPr>
        <w:pStyle w:val="Normal"/>
        <w:ind w:firstLine="420"/>
        <w:rPr>
          <w:rFonts w:ascii="华文宋体" w:hAnsi="华文宋体" w:eastAsia="华文宋体"/>
        </w:rPr>
      </w:pPr>
      <w:r>
        <w:rPr>
          <w:rFonts w:ascii="华文宋体" w:hAnsi="华文宋体" w:eastAsia="华文宋体"/>
        </w:rPr>
        <w:t>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智慧、战略、计策、谋划，具有各自的形体容貌，有的圆通，有的方正；有的运用阴，有的运用阳；有的给人带来吉祥，有的给人带来不祥，这是因为事情的类别不一样。所以圣智之人怀着这个思路进行运用，转为圆通才能谋求与事情的类别相吻合。所以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天地是广阔无边的，人世间的事是无穷的，各以其特点分成不同的类别；看清对方的计谋之后，必能推知其最终的吉凶成败。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通过转为圆通才能够依从方正。圆通，是为了话语投机；方正，是为了措置事情。运转变化，是为了观察对方的计谋；接触外物，是为了观察对方进退的意愿。彼此都看到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80" w:name="__RefHeading___Toc2348_1773610119"/>
      <w:bookmarkStart w:id="181" w:name="_Toc964853272"/>
      <w:bookmarkStart w:id="182" w:name="_Toc153345603"/>
      <w:bookmarkStart w:id="183" w:name="_Toc30321402"/>
      <w:bookmarkStart w:id="184" w:name="_Toc47593248"/>
      <w:bookmarkStart w:id="185" w:name="_Toc1750"/>
      <w:bookmarkStart w:id="186" w:name="_Toc958547277"/>
      <w:bookmarkStart w:id="187" w:name="_Toc30321448"/>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（句首语气词。无义）</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侯从对方处获得信息，观察对方的言辞是否符合事实。随机应变是因为了解对方，排除干扰是为了方便行事；或排除干扰应对，或随机应变应对。抉择时发现有不可行的，圣智之人不为之言语。所以有智慧的人不会光顾着自己说话而忽略别人言辞中的隐含信息，因而能够做到言辞不繁乱并且思想不空虚，志向不紊乱并且意愿不偏斜。</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对方的圆通不能施行，使对方的方正不通阻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所以善于排除干扰和随机应变的人，处理事情就好像挖开千丈高的堤水，又好像从万丈的谿谷上向下滚动圆石一样。而能够做到这个的，是其所造就的形势使人不得不如此啊！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default" r:id="rId3"/>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Times New Roman">
    <w:charset w:val="86"/>
    <w:family w:val="roman"/>
    <w:pitch w:val="variable"/>
  </w:font>
  <w:font w:name="Liberation Sans">
    <w:altName w:val="Arial"/>
    <w:charset w:val="86"/>
    <w:family w:val="swiss"/>
    <w:pitch w:val="variable"/>
  </w:font>
  <w:font w:name="等线 Light">
    <w:charset w:val="86"/>
    <w:family w:val="roman"/>
    <w:pitch w:val="variable"/>
  </w:font>
  <w:font w:name="华文宋体">
    <w:charset w:val="86"/>
    <w:family w:val="roman"/>
    <w:pitch w:val="variable"/>
  </w:font>
  <w:font w:name="宋体">
    <w:charset w:val="86"/>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6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numPr>
        <w:ilvl w:val="0"/>
        <w:numId w:val="0"/>
      </w:numPr>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numPr>
        <w:ilvl w:val="0"/>
        <w:numId w:val="0"/>
      </w:numPr>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numPr>
        <w:ilvl w:val="0"/>
        <w:numId w:val="0"/>
      </w:numPr>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Style11">
    <w:name w:val="编号符号"/>
    <w:qFormat/>
    <w:rPr/>
  </w:style>
  <w:style w:type="character" w:styleId="1">
    <w:name w:val="行号1"/>
    <w:qFormat/>
    <w:rPr/>
  </w:style>
  <w:style w:type="character" w:styleId="Style12">
    <w:name w:val="索引链接"/>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user">
    <w:name w:val="索引链接 (user)"/>
    <w:qFormat/>
    <w:rPr/>
  </w:style>
  <w:style w:type="paragraph" w:styleId="Style13">
    <w:name w:val="标题样式"/>
    <w:basedOn w:val="Normal"/>
    <w:next w:val="BodyText"/>
    <w:qFormat/>
    <w:pPr>
      <w:keepNext w:val="true"/>
      <w:spacing w:before="240" w:after="120"/>
    </w:pPr>
    <w:rPr>
      <w:rFonts w:ascii="Liberation Sans" w:hAnsi="Liberation Sans" w:eastAsia="Noto Sans CJK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4">
    <w:name w:val="索引"/>
    <w:basedOn w:val="Normal"/>
    <w:qFormat/>
    <w:pPr>
      <w:suppressLineNumbers/>
    </w:pPr>
    <w:rPr>
      <w:rFonts w:cs="Lucida Sans"/>
    </w:rPr>
  </w:style>
  <w:style w:type="paragraph" w:styleId="user1">
    <w:name w:val="标题样式 (user)"/>
    <w:basedOn w:val="Normal"/>
    <w:next w:val="BodyText"/>
    <w:qFormat/>
    <w:pPr>
      <w:keepNext w:val="true"/>
      <w:spacing w:before="240" w:after="120"/>
    </w:pPr>
    <w:rPr>
      <w:rFonts w:ascii="Liberation Sans" w:hAnsi="Liberation Sans" w:eastAsia="Noto Sans SC" w:cs="Lucida Sans"/>
      <w:sz w:val="28"/>
      <w:szCs w:val="28"/>
    </w:rPr>
  </w:style>
  <w:style w:type="paragraph" w:styleId="user2">
    <w:name w:val="索引 (user)"/>
    <w:basedOn w:val="Normal"/>
    <w:qFormat/>
    <w:pPr>
      <w:suppressLineNumbers/>
    </w:pPr>
    <w:rPr>
      <w:rFonts w:cs="Lucida Sans"/>
    </w:rPr>
  </w:style>
  <w:style w:type="paragraph" w:styleId="Style15">
    <w:name w:val="页眉与页脚"/>
    <w:basedOn w:val="Normal"/>
    <w:qFormat/>
    <w:pPr/>
    <w:rPr/>
  </w:style>
  <w:style w:type="paragraph" w:styleId="user3">
    <w:name w:val="页眉与页脚 (user)"/>
    <w:basedOn w:val="Normal"/>
    <w:qFormat/>
    <w:pPr/>
    <w:rPr/>
  </w:style>
  <w:style w:type="paragraph" w:styleId="Footer">
    <w:name w:val="footer"/>
    <w:basedOn w:val="Style15"/>
    <w:pPr/>
    <w:rPr/>
  </w:style>
  <w:style w:type="paragraph" w:styleId="TOC1">
    <w:name w:val="toc 1"/>
    <w:basedOn w:val="Style14"/>
    <w:pPr>
      <w:tabs>
        <w:tab w:val="clear" w:pos="420"/>
        <w:tab w:val="right" w:pos="9740" w:leader="dot"/>
      </w:tabs>
      <w:spacing w:lineRule="auto" w:line="276"/>
    </w:pPr>
    <w:rPr/>
  </w:style>
  <w:style w:type="paragraph" w:styleId="11">
    <w:name w:val="标题 11"/>
    <w:basedOn w:val="Normal"/>
    <w:next w:val="Normal"/>
    <w:qFormat/>
    <w:pPr>
      <w:keepNext w:val="true"/>
      <w:keepLines/>
      <w:widowControl/>
      <w:numPr>
        <w:ilvl w:val="0"/>
        <w:numId w:val="0"/>
      </w:numPr>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numPr>
        <w:ilvl w:val="0"/>
        <w:numId w:val="0"/>
      </w:numPr>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numPr>
        <w:ilvl w:val="0"/>
        <w:numId w:val="0"/>
      </w:numPr>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kinsoku w:val="true"/>
      <w:overflowPunct w:val="true"/>
      <w:autoSpaceDE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Style15"/>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kinsoku w:val="true"/>
      <w:overflowPunct w:val="true"/>
      <w:autoSpaceDE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kinsoku w:val="true"/>
      <w:overflowPunct w:val="true"/>
      <w:autoSpaceDE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kinsoku w:val="true"/>
      <w:overflowPunct w:val="true"/>
      <w:autoSpaceDE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kinsoku w:val="true"/>
      <w:overflowPunct w:val="true"/>
      <w:autoSpaceDE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kinsoku w:val="true"/>
      <w:overflowPunct w:val="true"/>
      <w:autoSpaceDE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kinsoku w:val="true"/>
      <w:overflowPunct w:val="true"/>
      <w:autoSpaceDE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kinsoku w:val="true"/>
      <w:overflowPunct w:val="true"/>
      <w:autoSpaceDE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kinsoku w:val="true"/>
      <w:overflowPunct w:val="true"/>
      <w:autoSpaceDE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kinsoku w:val="true"/>
      <w:overflowPunct w:val="true"/>
      <w:autoSpaceDE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kinsoku w:val="true"/>
      <w:overflowPunct w:val="true"/>
      <w:autoSpaceDE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kinsoku w:val="true"/>
      <w:overflowPunct w:val="true"/>
      <w:autoSpaceDE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Style13"/>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Style15"/>
    <w:qFormat/>
    <w:pPr/>
    <w:rPr/>
  </w:style>
  <w:style w:type="paragraph" w:styleId="4">
    <w:name w:val="修订4"/>
    <w:qFormat/>
    <w:pPr>
      <w:widowControl/>
      <w:suppressAutoHyphens w:val="true"/>
      <w:kinsoku w:val="true"/>
      <w:overflowPunct w:val="true"/>
      <w:autoSpaceDE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Style15"/>
    <w:qFormat/>
    <w:pPr/>
    <w:rPr/>
  </w:style>
  <w:style w:type="paragraph" w:styleId="indexheading1">
    <w:name w:val="index heading1"/>
    <w:basedOn w:val="Style13"/>
    <w:qFormat/>
    <w:pPr>
      <w:keepNext w:val="true"/>
      <w:widowControl/>
      <w:suppressLineNumbers/>
      <w:suppressAutoHyphens w:val="true"/>
    </w:pPr>
    <w:rPr>
      <w:b/>
      <w:bCs/>
      <w:sz w:val="32"/>
      <w:szCs w:val="32"/>
    </w:rPr>
  </w:style>
  <w:style w:type="paragraph" w:styleId="24">
    <w:name w:val="索引标题2"/>
    <w:basedOn w:val="Style13"/>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kinsoku w:val="true"/>
      <w:overflowPunct w:val="true"/>
      <w:autoSpaceDE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kinsoku w:val="true"/>
      <w:overflowPunct w:val="true"/>
      <w:autoSpaceDE w:val="tru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833</TotalTime>
  <Application>LibreOffice/26.2.1.2$Windows_X86_64 LibreOffice_project/620$Build-2</Application>
  <AppVersion>15.0000</AppVersion>
  <Pages>35</Pages>
  <Words>36569</Words>
  <Characters>36650</Characters>
  <CharactersWithSpaces>36705</CharactersWithSpaces>
  <Paragraphs>299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2026-04-08T20:24:51Z</dcterms:modified>
  <cp:revision>472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