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eastAsia="华文宋体"/>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Fonts w:ascii="华文宋体" w:hAnsi="华文宋体" w:eastAsia="华文宋体"/>
            </w:rPr>
            <w:instrText xml:space="preserve"> TOC \o "1-3" \u \h</w:instrText>
          </w:r>
          <w:r>
            <w:rPr>
              <w:rStyle w:val="Style12"/>
              <w:rFonts w:ascii="华文宋体" w:hAnsi="华文宋体" w:eastAsia="华文宋体"/>
            </w:rPr>
            <w:fldChar w:fldCharType="separate"/>
          </w:r>
          <w:hyperlink w:anchor="__RefHeading___Toc2308_1773610119">
            <w:r>
              <w:rPr>
                <w:rStyle w:val="Style12"/>
                <w:rFonts w:ascii="华文宋体" w:hAnsi="华文宋体" w:eastAsia="华文宋体"/>
              </w:rPr>
              <w:t>捭阖</w:t>
            </w:r>
            <w:r>
              <w:rPr>
                <w:rStyle w:val="Style12"/>
                <w:rFonts w:eastAsia="华文宋体" w:ascii="华文宋体" w:hAnsi="华文宋体"/>
              </w:rPr>
              <w:tab/>
              <w:t>3</w:t>
            </w:r>
          </w:hyperlink>
        </w:p>
        <w:p>
          <w:pPr>
            <w:pStyle w:val="TOC1"/>
            <w:tabs>
              <w:tab w:val="clear" w:pos="9740"/>
              <w:tab w:val="right" w:pos="9739" w:leader="dot"/>
            </w:tabs>
            <w:rPr/>
          </w:pPr>
          <w:hyperlink w:anchor="__RefHeading___Toc2310_1773610119">
            <w:r>
              <w:rPr>
                <w:rStyle w:val="Style12"/>
                <w:rFonts w:ascii="华文宋体" w:hAnsi="华文宋体" w:eastAsia="华文宋体"/>
              </w:rPr>
              <w:t>反应</w:t>
            </w:r>
            <w:r>
              <w:rPr>
                <w:rStyle w:val="Style12"/>
                <w:rFonts w:eastAsia="华文宋体" w:ascii="华文宋体" w:hAnsi="华文宋体"/>
              </w:rPr>
              <w:tab/>
              <w:t>4</w:t>
            </w:r>
          </w:hyperlink>
        </w:p>
        <w:p>
          <w:pPr>
            <w:pStyle w:val="TOC1"/>
            <w:tabs>
              <w:tab w:val="clear" w:pos="9740"/>
              <w:tab w:val="right" w:pos="9739" w:leader="dot"/>
            </w:tabs>
            <w:rPr/>
          </w:pPr>
          <w:hyperlink w:anchor="__RefHeading___Toc2312_1773610119">
            <w:r>
              <w:rPr>
                <w:rStyle w:val="Style12"/>
                <w:rFonts w:ascii="华文宋体" w:hAnsi="华文宋体" w:eastAsia="华文宋体"/>
              </w:rPr>
              <w:t>内揵</w:t>
            </w:r>
            <w:r>
              <w:rPr>
                <w:rStyle w:val="Style12"/>
                <w:rFonts w:eastAsia="华文宋体" w:ascii="华文宋体" w:hAnsi="华文宋体"/>
              </w:rPr>
              <w:tab/>
              <w:t>6</w:t>
            </w:r>
          </w:hyperlink>
        </w:p>
        <w:p>
          <w:pPr>
            <w:pStyle w:val="TOC1"/>
            <w:tabs>
              <w:tab w:val="clear" w:pos="9740"/>
              <w:tab w:val="right" w:pos="9739" w:leader="dot"/>
            </w:tabs>
            <w:rPr/>
          </w:pPr>
          <w:hyperlink w:anchor="__RefHeading___Toc2314_1773610119">
            <w:r>
              <w:rPr>
                <w:rStyle w:val="Style12"/>
                <w:rFonts w:ascii="华文宋体" w:hAnsi="华文宋体" w:eastAsia="华文宋体"/>
              </w:rPr>
              <w:t>抵巇</w:t>
            </w:r>
            <w:r>
              <w:rPr>
                <w:rStyle w:val="Style12"/>
                <w:rFonts w:eastAsia="华文宋体" w:ascii="华文宋体" w:hAnsi="华文宋体"/>
              </w:rPr>
              <w:tab/>
              <w:t>7</w:t>
            </w:r>
          </w:hyperlink>
        </w:p>
        <w:p>
          <w:pPr>
            <w:pStyle w:val="TOC1"/>
            <w:tabs>
              <w:tab w:val="clear" w:pos="9740"/>
              <w:tab w:val="right" w:pos="9739" w:leader="dot"/>
            </w:tabs>
            <w:rPr/>
          </w:pPr>
          <w:hyperlink w:anchor="__RefHeading___Toc2316_1773610119">
            <w:r>
              <w:rPr>
                <w:rStyle w:val="Style12"/>
                <w:rFonts w:ascii="华文宋体" w:hAnsi="华文宋体" w:eastAsia="华文宋体"/>
              </w:rPr>
              <w:t>飞箝</w:t>
            </w:r>
            <w:r>
              <w:rPr>
                <w:rStyle w:val="Style12"/>
                <w:rFonts w:eastAsia="华文宋体" w:ascii="华文宋体" w:hAnsi="华文宋体"/>
              </w:rPr>
              <w:tab/>
              <w:t>8</w:t>
            </w:r>
          </w:hyperlink>
        </w:p>
        <w:p>
          <w:pPr>
            <w:pStyle w:val="TOC1"/>
            <w:tabs>
              <w:tab w:val="clear" w:pos="9740"/>
              <w:tab w:val="right" w:pos="9739" w:leader="dot"/>
            </w:tabs>
            <w:rPr/>
          </w:pPr>
          <w:hyperlink w:anchor="__RefHeading___Toc2318_1773610119">
            <w:r>
              <w:rPr>
                <w:rStyle w:val="Style12"/>
                <w:rFonts w:ascii="华文宋体" w:hAnsi="华文宋体" w:eastAsia="华文宋体"/>
              </w:rPr>
              <w:t>忤合</w:t>
            </w:r>
            <w:r>
              <w:rPr>
                <w:rStyle w:val="Style12"/>
                <w:rFonts w:eastAsia="华文宋体" w:ascii="华文宋体" w:hAnsi="华文宋体"/>
              </w:rPr>
              <w:tab/>
              <w:t>9</w:t>
            </w:r>
          </w:hyperlink>
        </w:p>
        <w:p>
          <w:pPr>
            <w:pStyle w:val="TOC1"/>
            <w:tabs>
              <w:tab w:val="clear" w:pos="9740"/>
              <w:tab w:val="right" w:pos="9739" w:leader="dot"/>
            </w:tabs>
            <w:rPr/>
          </w:pPr>
          <w:hyperlink w:anchor="__RefHeading___Toc2320_1773610119">
            <w:r>
              <w:rPr>
                <w:rStyle w:val="Style12"/>
                <w:rFonts w:ascii="华文宋体" w:hAnsi="华文宋体" w:eastAsia="华文宋体"/>
              </w:rPr>
              <w:t>揣篇</w:t>
            </w:r>
            <w:r>
              <w:rPr>
                <w:rStyle w:val="Style12"/>
                <w:rFonts w:eastAsia="华文宋体" w:ascii="华文宋体" w:hAnsi="华文宋体"/>
              </w:rPr>
              <w:tab/>
              <w:t>10</w:t>
            </w:r>
          </w:hyperlink>
        </w:p>
        <w:p>
          <w:pPr>
            <w:pStyle w:val="TOC1"/>
            <w:tabs>
              <w:tab w:val="clear" w:pos="9740"/>
              <w:tab w:val="right" w:pos="9739" w:leader="dot"/>
            </w:tabs>
            <w:rPr/>
          </w:pPr>
          <w:hyperlink w:anchor="__RefHeading___Toc2322_1773610119">
            <w:r>
              <w:rPr>
                <w:rStyle w:val="Style12"/>
                <w:rFonts w:ascii="华文宋体" w:hAnsi="华文宋体" w:eastAsia="华文宋体"/>
              </w:rPr>
              <w:t>摩篇</w:t>
            </w:r>
            <w:r>
              <w:rPr>
                <w:rStyle w:val="Style12"/>
                <w:rFonts w:eastAsia="华文宋体" w:ascii="华文宋体" w:hAnsi="华文宋体"/>
              </w:rPr>
              <w:tab/>
              <w:t>11</w:t>
            </w:r>
          </w:hyperlink>
        </w:p>
        <w:p>
          <w:pPr>
            <w:pStyle w:val="TOC1"/>
            <w:tabs>
              <w:tab w:val="clear" w:pos="9740"/>
              <w:tab w:val="right" w:pos="9739" w:leader="dot"/>
            </w:tabs>
            <w:rPr/>
          </w:pPr>
          <w:hyperlink w:anchor="__RefHeading___Toc2324_1773610119">
            <w:r>
              <w:rPr>
                <w:rStyle w:val="Style12"/>
                <w:rFonts w:ascii="华文宋体" w:hAnsi="华文宋体" w:eastAsia="华文宋体"/>
              </w:rPr>
              <w:t>权篇</w:t>
            </w:r>
            <w:r>
              <w:rPr>
                <w:rStyle w:val="Style12"/>
                <w:rFonts w:eastAsia="华文宋体" w:ascii="华文宋体" w:hAnsi="华文宋体"/>
              </w:rPr>
              <w:tab/>
              <w:t>12</w:t>
            </w:r>
          </w:hyperlink>
        </w:p>
        <w:p>
          <w:pPr>
            <w:pStyle w:val="TOC1"/>
            <w:tabs>
              <w:tab w:val="clear" w:pos="9740"/>
              <w:tab w:val="right" w:pos="9739" w:leader="dot"/>
            </w:tabs>
            <w:rPr/>
          </w:pPr>
          <w:hyperlink w:anchor="__RefHeading___Toc2326_1773610119">
            <w:r>
              <w:rPr>
                <w:rStyle w:val="Style12"/>
                <w:rFonts w:ascii="华文宋体" w:hAnsi="华文宋体" w:eastAsia="华文宋体"/>
              </w:rPr>
              <w:t>谋篇</w:t>
            </w:r>
            <w:r>
              <w:rPr>
                <w:rStyle w:val="Style12"/>
                <w:rFonts w:eastAsia="华文宋体" w:ascii="华文宋体" w:hAnsi="华文宋体"/>
              </w:rPr>
              <w:tab/>
              <w:t>14</w:t>
            </w:r>
          </w:hyperlink>
        </w:p>
        <w:p>
          <w:pPr>
            <w:pStyle w:val="TOC1"/>
            <w:tabs>
              <w:tab w:val="clear" w:pos="9740"/>
              <w:tab w:val="right" w:pos="9739" w:leader="dot"/>
            </w:tabs>
            <w:rPr/>
          </w:pPr>
          <w:hyperlink w:anchor="__RefHeading___Toc2328_1773610119">
            <w:r>
              <w:rPr>
                <w:rStyle w:val="Style12"/>
                <w:rFonts w:ascii="华文宋体" w:hAnsi="华文宋体" w:eastAsia="华文宋体"/>
              </w:rPr>
              <w:t>决篇</w:t>
            </w:r>
            <w:r>
              <w:rPr>
                <w:rStyle w:val="Style12"/>
                <w:rFonts w:eastAsia="华文宋体" w:ascii="华文宋体" w:hAnsi="华文宋体"/>
              </w:rPr>
              <w:tab/>
              <w:t>16</w:t>
            </w:r>
          </w:hyperlink>
        </w:p>
        <w:p>
          <w:pPr>
            <w:pStyle w:val="TOC1"/>
            <w:tabs>
              <w:tab w:val="clear" w:pos="9740"/>
              <w:tab w:val="right" w:pos="9739" w:leader="dot"/>
            </w:tabs>
            <w:rPr/>
          </w:pPr>
          <w:hyperlink w:anchor="__RefHeading___Toc2330_1773610119">
            <w:r>
              <w:rPr>
                <w:rStyle w:val="Style12"/>
                <w:rFonts w:ascii="华文宋体" w:hAnsi="华文宋体" w:eastAsia="华文宋体"/>
              </w:rPr>
              <w:t>符言</w:t>
            </w:r>
            <w:r>
              <w:rPr>
                <w:rStyle w:val="Style12"/>
                <w:rFonts w:eastAsia="华文宋体" w:ascii="华文宋体" w:hAnsi="华文宋体"/>
              </w:rPr>
              <w:tab/>
              <w:t>16</w:t>
            </w:r>
          </w:hyperlink>
        </w:p>
        <w:p>
          <w:pPr>
            <w:pStyle w:val="TOC1"/>
            <w:tabs>
              <w:tab w:val="clear" w:pos="9740"/>
              <w:tab w:val="right" w:pos="9739" w:leader="dot"/>
            </w:tabs>
            <w:rPr/>
          </w:pPr>
          <w:hyperlink w:anchor="__RefHeading___Toc2332_1773610119">
            <w:r>
              <w:rPr>
                <w:rStyle w:val="Style12"/>
                <w:rFonts w:ascii="华文宋体" w:hAnsi="华文宋体" w:eastAsia="华文宋体"/>
              </w:rPr>
              <w:t>转丸</w:t>
            </w:r>
            <w:r>
              <w:rPr>
                <w:rStyle w:val="Style12"/>
                <w:rFonts w:eastAsia="华文宋体" w:ascii="华文宋体" w:hAnsi="华文宋体"/>
              </w:rPr>
              <w:tab/>
              <w:t>17</w:t>
            </w:r>
          </w:hyperlink>
        </w:p>
        <w:p>
          <w:pPr>
            <w:pStyle w:val="TOC1"/>
            <w:tabs>
              <w:tab w:val="clear" w:pos="9740"/>
              <w:tab w:val="right" w:pos="9739" w:leader="dot"/>
            </w:tabs>
            <w:rPr/>
          </w:pPr>
          <w:hyperlink w:anchor="__RefHeading___Toc2334_1773610119">
            <w:r>
              <w:rPr>
                <w:rStyle w:val="Style12"/>
                <w:rFonts w:ascii="华文宋体" w:hAnsi="华文宋体" w:eastAsia="华文宋体"/>
              </w:rPr>
              <w:t>却乱</w:t>
            </w:r>
            <w:r>
              <w:rPr>
                <w:rStyle w:val="Style12"/>
                <w:rFonts w:eastAsia="华文宋体" w:ascii="华文宋体" w:hAnsi="华文宋体"/>
              </w:rPr>
              <w:tab/>
              <w:t>18</w:t>
            </w:r>
          </w:hyperlink>
        </w:p>
        <w:p>
          <w:pPr>
            <w:pStyle w:val="TOC1"/>
            <w:tabs>
              <w:tab w:val="clear" w:pos="9740"/>
              <w:tab w:val="right" w:pos="9739" w:leader="dot"/>
            </w:tabs>
            <w:rPr/>
          </w:pPr>
          <w:hyperlink w:anchor="__RefHeading___Toc1620_2803666824_%2525E">
            <w:r>
              <w:rPr>
                <w:rStyle w:val="Style12"/>
                <w:rFonts w:ascii="华文宋体" w:hAnsi="华文宋体" w:eastAsia="华文宋体"/>
              </w:rPr>
              <w:t>持枢</w:t>
            </w:r>
            <w:r>
              <w:rPr>
                <w:rStyle w:val="Style12"/>
                <w:rFonts w:eastAsia="华文宋体" w:ascii="华文宋体" w:hAnsi="华文宋体"/>
              </w:rPr>
              <w:tab/>
              <w:t>19</w:t>
            </w:r>
          </w:hyperlink>
        </w:p>
        <w:p>
          <w:pPr>
            <w:pStyle w:val="TOC1"/>
            <w:tabs>
              <w:tab w:val="clear" w:pos="9740"/>
              <w:tab w:val="right" w:pos="9739" w:leader="dot"/>
            </w:tabs>
            <w:rPr/>
          </w:pPr>
          <w:hyperlink w:anchor="__RefHeading___Toc1622_2803666824_%2525E">
            <w:r>
              <w:rPr>
                <w:rStyle w:val="Style12"/>
                <w:rFonts w:ascii="华文宋体" w:hAnsi="华文宋体" w:eastAsia="华文宋体"/>
              </w:rPr>
              <w:t>中经</w:t>
            </w:r>
            <w:r>
              <w:rPr>
                <w:rStyle w:val="Style12"/>
                <w:rFonts w:eastAsia="华文宋体" w:ascii="华文宋体" w:hAnsi="华文宋体"/>
              </w:rPr>
              <w:tab/>
              <w:t>19</w:t>
            </w:r>
          </w:hyperlink>
        </w:p>
        <w:p>
          <w:pPr>
            <w:pStyle w:val="TOC1"/>
            <w:tabs>
              <w:tab w:val="clear" w:pos="9740"/>
              <w:tab w:val="right" w:pos="9739" w:leader="dot"/>
            </w:tabs>
            <w:rPr/>
          </w:pPr>
          <w:hyperlink w:anchor="__RefHeading___Toc2336_1773610119">
            <w:r>
              <w:rPr>
                <w:rStyle w:val="Style12"/>
                <w:rFonts w:ascii="华文宋体" w:hAnsi="华文宋体" w:eastAsia="华文宋体"/>
              </w:rPr>
              <w:t>盛神法五龙</w:t>
            </w:r>
            <w:r>
              <w:rPr>
                <w:rStyle w:val="Style12"/>
                <w:rFonts w:eastAsia="华文宋体" w:ascii="华文宋体" w:hAnsi="华文宋体"/>
              </w:rPr>
              <w:tab/>
              <w:t>21</w:t>
            </w:r>
          </w:hyperlink>
        </w:p>
        <w:p>
          <w:pPr>
            <w:pStyle w:val="TOC1"/>
            <w:tabs>
              <w:tab w:val="clear" w:pos="9740"/>
              <w:tab w:val="right" w:pos="9739" w:leader="dot"/>
            </w:tabs>
            <w:rPr/>
          </w:pPr>
          <w:hyperlink w:anchor="__RefHeading___Toc2338_1773610119">
            <w:r>
              <w:rPr>
                <w:rStyle w:val="Style12"/>
                <w:rFonts w:ascii="华文宋体" w:hAnsi="华文宋体" w:eastAsia="华文宋体"/>
              </w:rPr>
              <w:t>养志法灵龟</w:t>
            </w:r>
            <w:r>
              <w:rPr>
                <w:rStyle w:val="Style12"/>
                <w:rFonts w:eastAsia="华文宋体" w:ascii="华文宋体" w:hAnsi="华文宋体"/>
              </w:rPr>
              <w:tab/>
              <w:t>22</w:t>
            </w:r>
          </w:hyperlink>
        </w:p>
        <w:p>
          <w:pPr>
            <w:pStyle w:val="TOC1"/>
            <w:tabs>
              <w:tab w:val="clear" w:pos="9740"/>
              <w:tab w:val="right" w:pos="9739" w:leader="dot"/>
            </w:tabs>
            <w:rPr/>
          </w:pPr>
          <w:hyperlink w:anchor="__RefHeading___Toc2340_1773610119">
            <w:r>
              <w:rPr>
                <w:rStyle w:val="Style12"/>
                <w:rFonts w:ascii="华文宋体" w:hAnsi="华文宋体" w:eastAsia="华文宋体"/>
              </w:rPr>
              <w:t>实意法螣蛇</w:t>
            </w:r>
            <w:r>
              <w:rPr>
                <w:rStyle w:val="Style12"/>
                <w:rFonts w:eastAsia="华文宋体" w:ascii="华文宋体" w:hAnsi="华文宋体"/>
              </w:rPr>
              <w:tab/>
              <w:t>23</w:t>
            </w:r>
          </w:hyperlink>
        </w:p>
        <w:p>
          <w:pPr>
            <w:pStyle w:val="TOC1"/>
            <w:tabs>
              <w:tab w:val="clear" w:pos="9740"/>
              <w:tab w:val="right" w:pos="9739" w:leader="dot"/>
            </w:tabs>
            <w:rPr/>
          </w:pPr>
          <w:hyperlink w:anchor="__RefHeading___Toc2342_1773610119">
            <w:r>
              <w:rPr>
                <w:rStyle w:val="Style12"/>
                <w:rFonts w:ascii="华文宋体" w:hAnsi="华文宋体" w:eastAsia="华文宋体"/>
              </w:rPr>
              <w:t>分威法伏熊</w:t>
            </w:r>
            <w:r>
              <w:rPr>
                <w:rStyle w:val="Style12"/>
                <w:rFonts w:eastAsia="华文宋体" w:ascii="华文宋体" w:hAnsi="华文宋体"/>
              </w:rPr>
              <w:tab/>
              <w:t>24</w:t>
            </w:r>
          </w:hyperlink>
        </w:p>
        <w:p>
          <w:pPr>
            <w:pStyle w:val="TOC1"/>
            <w:tabs>
              <w:tab w:val="clear" w:pos="9740"/>
              <w:tab w:val="right" w:pos="9739" w:leader="dot"/>
            </w:tabs>
            <w:rPr/>
          </w:pPr>
          <w:hyperlink w:anchor="__RefHeading___Toc2344_1773610119">
            <w:r>
              <w:rPr>
                <w:rStyle w:val="Style12"/>
                <w:rFonts w:ascii="华文宋体" w:hAnsi="华文宋体" w:eastAsia="华文宋体"/>
              </w:rPr>
              <w:t>散势法鸷鸟</w:t>
            </w:r>
            <w:r>
              <w:rPr>
                <w:rStyle w:val="Style12"/>
                <w:rFonts w:eastAsia="华文宋体" w:ascii="华文宋体" w:hAnsi="华文宋体"/>
              </w:rPr>
              <w:tab/>
              <w:t>24</w:t>
            </w:r>
          </w:hyperlink>
        </w:p>
        <w:p>
          <w:pPr>
            <w:pStyle w:val="TOC1"/>
            <w:tabs>
              <w:tab w:val="clear" w:pos="9740"/>
              <w:tab w:val="right" w:pos="9739" w:leader="dot"/>
            </w:tabs>
            <w:rPr/>
          </w:pPr>
          <w:hyperlink w:anchor="__RefHeading___Toc2346_1773610119">
            <w:r>
              <w:rPr>
                <w:rStyle w:val="Style12"/>
                <w:rFonts w:ascii="华文宋体" w:hAnsi="华文宋体" w:eastAsia="华文宋体"/>
              </w:rPr>
              <w:t>转圆法猛兽</w:t>
            </w:r>
            <w:r>
              <w:rPr>
                <w:rStyle w:val="Style12"/>
                <w:rFonts w:eastAsia="华文宋体" w:ascii="华文宋体" w:hAnsi="华文宋体"/>
              </w:rPr>
              <w:tab/>
              <w:t>25</w:t>
            </w:r>
          </w:hyperlink>
        </w:p>
        <w:p>
          <w:pPr>
            <w:pStyle w:val="TOC1"/>
            <w:tabs>
              <w:tab w:val="clear" w:pos="9740"/>
              <w:tab w:val="right" w:pos="9739" w:leader="dot"/>
            </w:tabs>
            <w:rPr/>
          </w:pPr>
          <w:hyperlink w:anchor="__RefHeading___Toc2348_1773610119">
            <w:r>
              <w:rPr>
                <w:rStyle w:val="Style12"/>
                <w:rFonts w:ascii="华文宋体" w:hAnsi="华文宋体" w:eastAsia="华文宋体"/>
              </w:rPr>
              <w:t>损兑法灵蓍</w:t>
            </w:r>
            <w:r>
              <w:rPr>
                <w:rStyle w:val="Style12"/>
                <w:rFonts w:eastAsia="华文宋体" w:ascii="华文宋体" w:hAnsi="华文宋体"/>
              </w:rPr>
              <w:tab/>
              <w:t>25</w:t>
            </w:r>
          </w:hyperlink>
          <w:r>
            <w:rPr>
              <w:rStyle w:val="Style12"/>
              <w:rFonts w:ascii="华文宋体" w:hAnsi="华文宋体" w:eastAsia="华文宋体"/>
            </w:rPr>
            <w:fldChar w:fldCharType="end"/>
          </w:r>
        </w:p>
      </w:sdtContent>
    </w:sdt>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华文宋体" w:hAnsi="华文宋体" w:eastAsia="华文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；阖而捭之，以求其利。</w:t>
      </w:r>
    </w:p>
    <w:p>
      <w:pPr>
        <w:pStyle w:val="Normal"/>
        <w:ind w:firstLine="420"/>
        <w:rPr>
          <w:rFonts w:ascii="华文宋体" w:hAnsi="华文宋体" w:eastAsia="华文宋体"/>
        </w:rPr>
      </w:pPr>
      <w:r>
        <w:rPr>
          <w:rFonts w:ascii="华文宋体" w:hAnsi="华文宋体" w:eastAsia="华文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华文宋体" w:hAnsi="华文宋体" w:eastAsia="华文宋体"/>
        </w:rPr>
      </w:pPr>
      <w:r>
        <w:rPr>
          <w:rFonts w:ascii="华文宋体" w:hAnsi="华文宋体" w:eastAsia="华文宋体"/>
          <w:color w:val="000000"/>
        </w:rPr>
        <w:t>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华文宋体" w:hAnsi="华文宋体" w:eastAsia="华文宋体"/>
          <w:b w:val="false"/>
          <w:bCs w:val="false"/>
          <w:color w:val="000000"/>
        </w:rPr>
        <w:t>反应</w:t>
      </w:r>
      <w:bookmarkEnd w:id="9"/>
      <w:bookmarkEnd w:id="10"/>
      <w:bookmarkEnd w:id="11"/>
      <w:bookmarkEnd w:id="12"/>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val="false"/>
          <w:bCs w:val="false"/>
          <w:color w:val="000000"/>
        </w:rPr>
        <w:t>因</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华文宋体" w:hAnsi="华文宋体" w:eastAsia="华文宋体"/>
          <w:b w:val="false"/>
          <w:bCs w:val="false"/>
          <w:color w:val="000000"/>
        </w:rPr>
        <w:t>内揵</w:t>
      </w:r>
      <w:bookmarkEnd w:id="17"/>
      <w:bookmarkEnd w:id="18"/>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（内，通“纳”，接纳，采纳；揵，通 “楗”，意为门闩，引申为连接、维系）</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rFonts w:ascii="华文宋体" w:hAnsi="华文宋体" w:eastAsia="华文宋体"/>
        </w:rPr>
      </w:pPr>
      <w:r>
        <w:rPr>
          <w:rFonts w:ascii="华文宋体" w:hAnsi="华文宋体" w:eastAsia="华文宋体"/>
          <w:b/>
          <w:bCs/>
          <w:color w:val="000000"/>
        </w:rPr>
        <w:t>由</w:t>
      </w:r>
      <w:r>
        <w:rPr>
          <w:rFonts w:ascii="华文宋体" w:hAnsi="华文宋体" w:cs="Lucida Sans" w:eastAsia="华文宋体"/>
          <w:color w:val="7F7F7F"/>
          <w:kern w:val="2"/>
          <w:sz w:val="15"/>
          <w:szCs w:val="15"/>
          <w:lang w:val="en-US" w:eastAsia="zh-CN" w:bidi="hi-IN"/>
        </w:rPr>
        <w:t>（遵从；遵照）</w:t>
      </w:r>
      <w:r>
        <w:rPr>
          <w:rFonts w:ascii="华文宋体" w:hAnsi="华文宋体" w:eastAsia="华文宋体"/>
          <w:color w:val="000000"/>
        </w:rPr>
        <w:t>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华文宋体" w:hAnsi="华文宋体" w:eastAsia="华文宋体"/>
          <w:b w:val="false"/>
          <w:bCs w:val="false"/>
          <w:color w:val="000000"/>
        </w:rPr>
        <w:t>抵巇</w:t>
      </w:r>
      <w:bookmarkEnd w:id="25"/>
      <w:bookmarkEnd w:id="26"/>
      <w:bookmarkEnd w:id="27"/>
      <w:bookmarkEnd w:id="28"/>
      <w:bookmarkEnd w:id="29"/>
      <w:bookmarkEnd w:id="30"/>
      <w:bookmarkEnd w:id="31"/>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世间万物都有它的自然发展规律，事物也都有聚散离合的法则。有的近在身边却难以看透</w:t>
      </w:r>
      <w:r>
        <w:rPr>
          <w:rFonts w:eastAsia="华文宋体" w:ascii="华文宋体" w:hAnsi="华文宋体"/>
          <w:color w:val="7F7F7F"/>
          <w:sz w:val="15"/>
          <w:szCs w:val="15"/>
        </w:rPr>
        <w:t>,</w:t>
      </w:r>
      <w:r>
        <w:rPr>
          <w:rFonts w:ascii="华文宋体" w:hAnsi="华文宋体" w:eastAsia="华文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华文宋体" w:hAnsi="华文宋体" w:eastAsia="华文宋体"/>
          <w:b w:val="false"/>
          <w:bCs w:val="false"/>
          <w:color w:val="000000"/>
        </w:rPr>
        <w:t>飞箝</w:t>
      </w:r>
      <w:bookmarkEnd w:id="33"/>
      <w:bookmarkEnd w:id="34"/>
      <w:bookmarkEnd w:id="35"/>
      <w:bookmarkEnd w:id="36"/>
      <w:bookmarkEnd w:id="37"/>
      <w:bookmarkEnd w:id="38"/>
      <w:bookmarkEnd w:id="39"/>
    </w:p>
    <w:p>
      <w:pPr>
        <w:pStyle w:val="Normal"/>
        <w:ind w:firstLine="420"/>
        <w:rPr/>
      </w:pPr>
      <w:r>
        <w:rPr>
          <w:rFonts w:ascii="华文宋体" w:hAnsi="华文宋体" w:eastAsia="华文宋体"/>
          <w:color w:val="000000"/>
        </w:rPr>
        <w:t>凡度权量能，所以徵远来近。立势而</w:t>
      </w:r>
      <w:r>
        <w:rPr>
          <w:rFonts w:ascii="华文宋体" w:hAnsi="华文宋体" w:eastAsia="华文宋体"/>
          <w:b/>
          <w:bCs/>
          <w:color w:val="000000"/>
        </w:rPr>
        <w:t>制</w:t>
      </w:r>
      <w:r>
        <w:rPr>
          <w:rFonts w:ascii="华文宋体" w:hAnsi="华文宋体" w:cs="Lucida Sans" w:eastAsia="华文宋体"/>
          <w:color w:val="7F7F7F"/>
          <w:kern w:val="2"/>
          <w:sz w:val="15"/>
          <w:szCs w:val="15"/>
          <w:lang w:val="en-US" w:eastAsia="zh-CN" w:bidi="hi-IN"/>
        </w:rPr>
        <w:t>（裁决，决断）</w:t>
      </w:r>
      <w:r>
        <w:rPr>
          <w:rFonts w:ascii="华文宋体" w:hAnsi="华文宋体" w:eastAsia="华文宋体"/>
          <w:color w:val="000000"/>
        </w:rPr>
        <w:t>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权衡人的智谋、考量人的才干，所以要广泛收集或远或近的各方面信息。确定形势而后裁决事情，必须先观察对方的观点与自己的观点是否一致，辨别出对方言语中的是与非，看清对方言语中表面和背后的含义。识别对方是否具有办法决安危之计、定亲疏之事，然后再加以权衡和考量。当遇到有可以匡正我们决策的人，便征召他，聘请他，重用他。</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（法治，法度）</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华文宋体" w:hAnsi="华文宋体" w:eastAsia="华文宋体"/>
          <w:b w:val="false"/>
          <w:bCs w:val="false"/>
          <w:color w:val="000000"/>
        </w:rPr>
        <w:t>忤合</w:t>
      </w:r>
      <w:bookmarkEnd w:id="41"/>
      <w:bookmarkEnd w:id="42"/>
      <w:bookmarkEnd w:id="43"/>
      <w:bookmarkEnd w:id="44"/>
      <w:bookmarkEnd w:id="45"/>
      <w:bookmarkEnd w:id="46"/>
      <w:bookmarkEnd w:id="4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val="false"/>
          <w:bCs w:val="false"/>
          <w:color w:val="000000"/>
        </w:rPr>
        <w:t>观</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val="false"/>
          <w:bCs w:val="false"/>
          <w:color w:val="000000"/>
        </w:rPr>
        <w:t>反忤</w:t>
      </w:r>
      <w:r>
        <w:rPr>
          <w:rFonts w:ascii="华文宋体" w:hAnsi="华文宋体" w:eastAsia="华文宋体"/>
          <w:color w:val="000000"/>
        </w:rPr>
        <w:t>。反于此，忤于彼；忤于此，反于彼，其术也。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华文宋体" w:hAnsi="华文宋体" w:eastAsia="华文宋体"/>
          <w:b w:val="false"/>
          <w:bCs w:val="false"/>
          <w:color w:val="000000"/>
        </w:rPr>
        <w:t>揣篇</w:t>
      </w:r>
      <w:bookmarkEnd w:id="49"/>
      <w:bookmarkEnd w:id="50"/>
      <w:bookmarkEnd w:id="51"/>
      <w:bookmarkEnd w:id="52"/>
      <w:bookmarkEnd w:id="53"/>
      <w:bookmarkEnd w:id="54"/>
      <w:bookmarkEnd w:id="55"/>
    </w:p>
    <w:p>
      <w:pPr>
        <w:pStyle w:val="Normal"/>
        <w:ind w:firstLine="420"/>
        <w:rPr>
          <w:rFonts w:ascii="华文宋体" w:hAnsi="华文宋体" w:eastAsia="华文宋体"/>
        </w:rPr>
      </w:pPr>
      <w:r>
        <w:rPr>
          <w:rFonts w:ascii="华文宋体" w:hAnsi="华文宋体" w:eastAsia="华文宋体"/>
          <w:color w:val="000000"/>
        </w:rPr>
        <w:t>古之善用天下者，必</w:t>
      </w:r>
      <w:r>
        <w:rPr>
          <w:rFonts w:ascii="华文宋体" w:hAnsi="华文宋体" w:eastAsia="华文宋体"/>
          <w:b/>
          <w:bCs/>
          <w:color w:val="000000"/>
        </w:rPr>
        <w:t>量</w:t>
      </w:r>
      <w:r>
        <w:rPr>
          <w:rFonts w:ascii="华文宋体" w:hAnsi="华文宋体" w:cs="Lucida Sans" w:eastAsia="华文宋体"/>
          <w:color w:val="7F7F7F"/>
          <w:kern w:val="2"/>
          <w:sz w:val="15"/>
          <w:szCs w:val="15"/>
          <w:lang w:val="en-US" w:eastAsia="zh-CN" w:bidi="hi-IN"/>
        </w:rPr>
        <w:t>（衡量，酌量）</w:t>
      </w:r>
      <w:r>
        <w:rPr>
          <w:rFonts w:ascii="华文宋体" w:hAnsi="华文宋体" w:eastAsia="华文宋体"/>
          <w:color w:val="000000"/>
        </w:rPr>
        <w:t>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val="false"/>
          <w:bCs w:val="false"/>
          <w:color w:val="000000"/>
        </w:rPr>
        <w:t>美。</w:t>
      </w:r>
      <w:r>
        <w:rPr>
          <w:rFonts w:ascii="华文宋体" w:hAnsi="华文宋体" w:eastAsia="华文宋体"/>
          <w:color w:val="000000"/>
        </w:rPr>
        <w:t>生事者，</w:t>
      </w:r>
      <w:r>
        <w:rPr>
          <w:rFonts w:ascii="华文宋体" w:hAnsi="华文宋体" w:eastAsia="华文宋体"/>
          <w:b/>
          <w:bCs/>
          <w:color w:val="000000"/>
        </w:rPr>
        <w:t>几</w:t>
      </w:r>
      <w:r>
        <w:rPr>
          <w:rFonts w:ascii="华文宋体" w:hAnsi="华文宋体" w:cs="Lucida Sans" w:eastAsia="华文宋体"/>
          <w:color w:val="7F7F7F"/>
          <w:kern w:val="2"/>
          <w:sz w:val="15"/>
          <w:szCs w:val="15"/>
          <w:lang w:val="en-US" w:eastAsia="zh-CN" w:bidi="hi-IN"/>
        </w:rPr>
        <w:t>（幾，微也，殆也）</w:t>
      </w:r>
      <w:r>
        <w:rPr>
          <w:rFonts w:ascii="华文宋体" w:hAnsi="华文宋体" w:eastAsia="华文宋体"/>
          <w:color w:val="000000"/>
        </w:rPr>
        <w:t>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华文宋体" w:hAnsi="华文宋体" w:eastAsia="华文宋体"/>
          <w:b w:val="false"/>
          <w:bCs w:val="false"/>
          <w:color w:val="000000"/>
        </w:rPr>
        <w:t>摩篇</w:t>
      </w:r>
      <w:bookmarkEnd w:id="57"/>
      <w:bookmarkEnd w:id="58"/>
      <w:bookmarkEnd w:id="59"/>
      <w:bookmarkEnd w:id="60"/>
      <w:bookmarkEnd w:id="61"/>
      <w:bookmarkEnd w:id="62"/>
      <w:bookmarkEnd w:id="63"/>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宜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华文宋体" w:hAnsi="华文宋体" w:eastAsia="华文宋体"/>
          <w:b w:val="false"/>
          <w:bCs w:val="false"/>
          <w:color w:val="000000"/>
        </w:rPr>
        <w:t>权篇</w:t>
      </w:r>
      <w:bookmarkEnd w:id="65"/>
      <w:bookmarkEnd w:id="66"/>
      <w:bookmarkEnd w:id="67"/>
      <w:bookmarkEnd w:id="68"/>
      <w:bookmarkEnd w:id="69"/>
      <w:bookmarkEnd w:id="70"/>
      <w:bookmarkEnd w:id="71"/>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华文宋体" w:hAnsi="华文宋体" w:eastAsia="华文宋体"/>
          <w:b w:val="false"/>
          <w:bCs w:val="false"/>
          <w:color w:val="000000"/>
        </w:rPr>
        <w:t>谋篇</w:t>
      </w:r>
      <w:bookmarkEnd w:id="73"/>
      <w:bookmarkEnd w:id="74"/>
      <w:bookmarkEnd w:id="75"/>
      <w:bookmarkEnd w:id="76"/>
      <w:bookmarkEnd w:id="77"/>
      <w:bookmarkEnd w:id="78"/>
      <w:bookmarkEnd w:id="79"/>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w:t>
      </w:r>
      <w:bookmarkStart w:id="80" w:name="_GoBack"/>
      <w:bookmarkEnd w:id="80"/>
      <w:r>
        <w:rPr>
          <w:rFonts w:ascii="华文宋体" w:hAnsi="华文宋体" w:eastAsia="华文宋体"/>
          <w:color w:val="000000"/>
        </w:rPr>
        <w:t>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w:t>
      </w:r>
      <w:r>
        <w:rPr>
          <w:rFonts w:ascii="华文宋体" w:hAnsi="华文宋体" w:eastAsia="华文宋体"/>
          <w:color w:val="000000"/>
          <w:lang w:eastAsia="zh-CN"/>
        </w:rPr>
        <w:t>；</w:t>
      </w:r>
      <w:r>
        <w:rPr>
          <w:rFonts w:ascii="华文宋体" w:hAnsi="华文宋体" w:eastAsia="华文宋体"/>
          <w:color w:val="000000"/>
        </w:rPr>
        <w:t>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为他权衡；要顺着对方所遭受的祸患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cs="Lucida Sans" w:eastAsia="华文宋体"/>
          <w:color w:val="7F7F7F"/>
          <w:kern w:val="2"/>
          <w:sz w:val="15"/>
          <w:szCs w:val="15"/>
          <w:lang w:val="en-US" w:eastAsia="zh-CN" w:bidi="hi-IN"/>
        </w:rPr>
        <w:t>（古同“够”，达到）</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华文宋体" w:hAnsi="华文宋体" w:eastAsia="华文宋体"/>
          <w:b w:val="false"/>
          <w:bCs w:val="false"/>
          <w:color w:val="000000"/>
        </w:rPr>
        <w:t>决篇</w:t>
      </w:r>
      <w:bookmarkEnd w:id="82"/>
      <w:bookmarkEnd w:id="83"/>
      <w:bookmarkEnd w:id="84"/>
      <w:bookmarkEnd w:id="85"/>
      <w:bookmarkEnd w:id="86"/>
      <w:bookmarkEnd w:id="87"/>
      <w:bookmarkEnd w:id="8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val="false"/>
          <w:bCs w:val="false"/>
          <w:color w:val="000000"/>
        </w:rPr>
        <w:t>以</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华文宋体" w:hAnsi="华文宋体" w:eastAsia="华文宋体"/>
          <w:b w:val="false"/>
          <w:bCs w:val="false"/>
          <w:color w:val="000000"/>
        </w:rPr>
        <w:t>符言</w:t>
      </w:r>
      <w:bookmarkEnd w:id="90"/>
      <w:bookmarkEnd w:id="91"/>
      <w:bookmarkEnd w:id="92"/>
      <w:bookmarkEnd w:id="93"/>
      <w:bookmarkEnd w:id="94"/>
      <w:bookmarkEnd w:id="95"/>
      <w:bookmarkEnd w:id="96"/>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w:t>
      </w:r>
      <w:r>
        <w:rPr>
          <w:rFonts w:ascii="华文宋体" w:hAnsi="华文宋体" w:eastAsia="华文宋体"/>
          <w:b/>
          <w:bCs/>
          <w:color w:val="000000"/>
        </w:rPr>
        <w:t>诚</w:t>
      </w:r>
      <w:r>
        <w:rPr>
          <w:rFonts w:ascii="华文宋体" w:hAnsi="华文宋体" w:cs="Lucida Sans" w:eastAsia="华文宋体"/>
          <w:color w:val="7F7F7F"/>
          <w:kern w:val="2"/>
          <w:sz w:val="15"/>
          <w:szCs w:val="15"/>
          <w:lang w:val="en-US" w:eastAsia="zh-CN" w:bidi="hi-IN"/>
        </w:rPr>
        <w:t>（诚，信也）</w:t>
      </w:r>
      <w:r>
        <w:rPr>
          <w:rFonts w:ascii="华文宋体" w:hAnsi="华文宋体" w:eastAsia="华文宋体"/>
          <w:color w:val="000000"/>
        </w:rPr>
        <w:t>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五官</w:t>
      </w:r>
      <w:r>
        <w:rPr>
          <w:rFonts w:ascii="华文宋体" w:hAnsi="华文宋体" w:eastAsia="华文宋体"/>
          <w:color w:val="7F7F7F"/>
          <w:sz w:val="15"/>
          <w:szCs w:val="15"/>
        </w:rPr>
        <w:t>（《礼记</w:t>
      </w:r>
      <w:r>
        <w:rPr>
          <w:rFonts w:eastAsia="华文宋体" w:ascii="华文宋体" w:hAnsi="华文宋体"/>
          <w:color w:val="7F7F7F"/>
          <w:sz w:val="15"/>
          <w:szCs w:val="15"/>
        </w:rPr>
        <w:t>·</w:t>
      </w:r>
      <w:r>
        <w:rPr>
          <w:rFonts w:ascii="华文宋体" w:hAnsi="华文宋体" w:eastAsia="华文宋体"/>
          <w:color w:val="7F7F7F"/>
          <w:sz w:val="15"/>
          <w:szCs w:val="15"/>
        </w:rPr>
        <w:t>曲礼下》记载：天子之五官，曰司徒、司马、司空、司士、司寇）</w:t>
      </w:r>
      <w:r>
        <w:rPr>
          <w:rFonts w:ascii="华文宋体" w:hAnsi="华文宋体" w:eastAsia="华文宋体"/>
          <w:color w:val="000000"/>
        </w:rPr>
        <w:t>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b/>
          <w:bCs/>
          <w:color w:val="000000"/>
        </w:rPr>
        <w:t>人主</w:t>
      </w:r>
      <w:r>
        <w:rPr>
          <w:rFonts w:ascii="华文宋体" w:hAnsi="华文宋体" w:cs="Lucida Sans" w:eastAsia="华文宋体"/>
          <w:color w:val="7F7F7F"/>
          <w:kern w:val="2"/>
          <w:sz w:val="15"/>
          <w:szCs w:val="15"/>
          <w:lang w:val="en-US" w:eastAsia="zh-CN" w:bidi="hi-IN"/>
        </w:rPr>
        <w:t>（旧时专指一国之主，即帝王）</w:t>
      </w:r>
      <w:r>
        <w:rPr>
          <w:rFonts w:ascii="华文宋体" w:hAnsi="华文宋体" w:eastAsia="华文宋体"/>
          <w:color w:val="000000"/>
        </w:rPr>
        <w:t>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97" w:name="_GoBack_副本_1"/>
      <w:bookmarkStart w:id="98" w:name="_GoBack_副本_1"/>
      <w:bookmarkEnd w:id="98"/>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华文宋体" w:hAnsi="华文宋体" w:eastAsia="华文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107" w:name="_Hlk180865361"/>
      <w:r>
        <w:rPr>
          <w:rFonts w:ascii="华文宋体" w:hAnsi="华文宋体" w:eastAsia="华文宋体"/>
        </w:rPr>
        <w:t>戳</w:t>
      </w:r>
      <w:bookmarkEnd w:id="107"/>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（能够）</w:t>
      </w:r>
      <w:r>
        <w:rPr>
          <w:rFonts w:ascii="华文宋体" w:hAnsi="华文宋体" w:eastAsia="华文宋体"/>
        </w:rPr>
        <w:t>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华文宋体" w:hAnsi="华文宋体" w:eastAsia="华文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16" w:name="__RefHeading___Toc1620_2803666824_副本_1_副"/>
      <w:bookmarkStart w:id="117" w:name="_Toc153345595_副本_1_副本_1"/>
      <w:bookmarkStart w:id="118" w:name="_Toc1406991709_副本_1"/>
      <w:bookmarkStart w:id="119" w:name="_Toc1495_副本_1"/>
      <w:bookmarkStart w:id="120" w:name="_Toc47593240_副本_1_副本_1"/>
      <w:bookmarkStart w:id="121" w:name="_Toc30321449_副本_1"/>
      <w:bookmarkStart w:id="122" w:name="_Toc30321403_副本_1"/>
      <w:bookmarkStart w:id="123" w:name="_Toc1482718402_副本_1"/>
      <w:bookmarkEnd w:id="116"/>
      <w:r>
        <w:rPr>
          <w:rFonts w:ascii="华文宋体" w:hAnsi="华文宋体" w:eastAsia="华文宋体"/>
          <w:b w:val="false"/>
          <w:bCs w:val="false"/>
          <w:color w:val="000000"/>
        </w:rPr>
        <w:t>持枢</w:t>
      </w:r>
      <w:bookmarkEnd w:id="117"/>
      <w:bookmarkEnd w:id="118"/>
      <w:bookmarkEnd w:id="119"/>
      <w:bookmarkEnd w:id="120"/>
      <w:bookmarkEnd w:id="121"/>
      <w:bookmarkEnd w:id="122"/>
      <w:bookmarkEnd w:id="123"/>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掌握关键（遵循关键法则），就是说春季让万物萌生，夏季让万物成长，秋季让万物收获，冬季让万物储藏，这是自然的正常运行，不可以冲犯和违背。违背的人，即便一时成功也必然走向失败。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君主（治国）也有类似（自然法则）的关键法则，即创造生机（如鼓励生育、开创事业）、滋养百姓（完善教化、培育民力）、成就事业（如完善制度、巩固治理）、敛藏休养（如节俭蓄力、韬光养晦），也同样是不能冲犯和违背的；违背的人，即使一时强盛也必然走向衰败。这个是天道（自然规律），是君主（治国）的根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24" w:name="__RefHeading___Toc1622_2803666824_副本_1_副"/>
      <w:bookmarkStart w:id="125" w:name="_Toc153345596_副本_1_副本_1"/>
      <w:bookmarkStart w:id="126" w:name="_Toc47593241_副本_1_副本_1"/>
      <w:bookmarkStart w:id="127" w:name="_Toc30321404_副本_1"/>
      <w:bookmarkStart w:id="128" w:name="_Toc17765_副本_1"/>
      <w:bookmarkStart w:id="129" w:name="_Toc76662972_副本_1"/>
      <w:bookmarkStart w:id="130" w:name="_Toc30321450_副本_1"/>
      <w:bookmarkStart w:id="131" w:name="_Toc178184531_副本_1"/>
      <w:bookmarkEnd w:id="124"/>
      <w:r>
        <w:rPr>
          <w:rFonts w:ascii="华文宋体" w:hAnsi="华文宋体" w:eastAsia="华文宋体"/>
          <w:b w:val="false"/>
          <w:bCs w:val="false"/>
          <w:color w:val="000000"/>
        </w:rPr>
        <w:t>中经</w:t>
      </w:r>
      <w:bookmarkEnd w:id="125"/>
      <w:bookmarkEnd w:id="126"/>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自然规律。而拯救他人于拘泥固执的人，能够豢养、驱使小人。士人在世道动乱、时局危急时，或许应当凭借智慧免遭坑害；或许应当戕害能够直言者；或许应当放弃仁德并成为一方雄主；或许应当压制和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郄</w:t>
      </w:r>
      <w:r>
        <w:rPr>
          <w:rFonts w:ascii="华文宋体" w:hAnsi="华文宋体" w:eastAsia="华文宋体"/>
          <w:color w:val="7F7F7F"/>
          <w:sz w:val="15"/>
          <w:szCs w:val="13"/>
        </w:rPr>
        <w:t>（郄，同隙。空隙；裂缝）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注重制约别人，而不注重被别人制约。能制约别人的人，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僻；以道为形，以德为容，貌庄色温，不可象貌而得之。如是，隐情塞郄而去之。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解仇斗郄”。解仇者，谓解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嫌隙挑拨两强相互争斗。强大的双方因为产生嫌隙而争斗，对胜利的一方，宣扬其功劳，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嫌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（通“仿”，效法）</w:t>
      </w:r>
      <w:r>
        <w:rPr>
          <w:rFonts w:ascii="华文宋体" w:hAnsi="华文宋体" w:eastAsia="华文宋体"/>
          <w:b/>
          <w:bCs/>
        </w:rPr>
        <w:t>验</w:t>
      </w:r>
      <w:r>
        <w:rPr>
          <w:rFonts w:ascii="华文宋体" w:hAnsi="华文宋体" w:eastAsia="华文宋体"/>
          <w:color w:val="7F7F7F"/>
          <w:sz w:val="15"/>
          <w:szCs w:val="13"/>
        </w:rPr>
        <w:t>（检查；检验）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效法并检验他的技能，然后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再喜形于色地描述一些自己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val="false"/>
          <w:bCs w:val="false"/>
        </w:rPr>
        <w:t>所</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守持仁义，去探测对方的内心世界，以求彼此相合。刺探对方内心，以非常清楚地了解对方的主要意图。然后从外部制造影响去约束他的内心，当事情与我们有关联，理亏的情况下就随从他。所以小人亲比人，则是用旁门左道的方式（如脑控、整蛊），导致能够败家失国。不是贤良智慧的人，不能用“义”来守持家，不能用“道”来守持国。圣智之人之所以注重道之微妙，的确是因为“道”可以使家、国转危为安，拯救危亡使其存续啊！</w:t>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11"/>
        <w:spacing w:lineRule="auto" w:line="360"/>
        <w:jc w:val="center"/>
        <w:rPr>
          <w:rFonts w:ascii="华文宋体" w:hAnsi="华文宋体" w:eastAsia="华文宋体"/>
        </w:rPr>
      </w:pPr>
      <w:bookmarkStart w:id="132" w:name="__RefHeading___Toc2336_1773610119"/>
      <w:bookmarkStart w:id="133" w:name="_Toc47593242"/>
      <w:bookmarkStart w:id="134" w:name="_Toc715452631"/>
      <w:bookmarkStart w:id="135" w:name="_Toc153345597"/>
      <w:bookmarkStart w:id="136" w:name="_Toc9755"/>
      <w:bookmarkStart w:id="137" w:name="_Toc30321442"/>
      <w:bookmarkStart w:id="138" w:name="_Toc30321396"/>
      <w:bookmarkStart w:id="139" w:name="_Toc1773995429"/>
      <w:bookmarkEnd w:id="132"/>
      <w:r>
        <w:rPr>
          <w:rFonts w:ascii="华文宋体" w:hAnsi="华文宋体" w:eastAsia="华文宋体"/>
          <w:b w:val="false"/>
          <w:bCs w:val="false"/>
          <w:color w:val="000000"/>
        </w:rPr>
        <w:t>盛神法五龙</w:t>
      </w:r>
      <w:bookmarkEnd w:id="133"/>
      <w:bookmarkEnd w:id="134"/>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（一，惟初太始，道立于一，造分天地，化成万物。这里的意思为“和合”）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因此品德涵养五气，思想能得到“一”，才能产生方法。方法，是心意的引导，所自释放处，精神就会为之所支使。人体的九个孔窍和十二舍，是气运行的门户，是思想的主宰。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生命受自于天，称之为真人；真人，与天合而为一。通过内心的修炼而知“道”的人，称为圣智之人；圣智之人，通过类推的方法来知“道”。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虑、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神化归于身，称之为真人。真人，跟从天意且行为合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2338_1773610119"/>
      <w:bookmarkStart w:id="141" w:name="_Toc153345598"/>
      <w:bookmarkStart w:id="142" w:name="_Toc30321397"/>
      <w:bookmarkStart w:id="143" w:name="_Toc47593243"/>
      <w:bookmarkStart w:id="144" w:name="_Toc30321443"/>
      <w:bookmarkStart w:id="145" w:name="_Toc22664"/>
      <w:bookmarkStart w:id="146" w:name="_Toc192592109"/>
      <w:bookmarkStart w:id="147" w:name="_Toc841495716"/>
      <w:bookmarkEnd w:id="140"/>
      <w:r>
        <w:rPr>
          <w:rFonts w:ascii="华文宋体" w:hAnsi="华文宋体" w:eastAsia="华文宋体"/>
          <w:b w:val="false"/>
          <w:bCs w:val="false"/>
          <w:color w:val="000000"/>
        </w:rPr>
        <w:t>养志法灵龟</w:t>
      </w:r>
      <w:bookmarkEnd w:id="141"/>
      <w:bookmarkEnd w:id="142"/>
      <w:bookmarkEnd w:id="143"/>
      <w:bookmarkEnd w:id="144"/>
      <w:bookmarkEnd w:id="145"/>
      <w:bookmarkEnd w:id="146"/>
      <w:bookmarkEnd w:id="147"/>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修养志向，是因为心意的思考不畅达。有所欲望，就会立志进行思考（以满足欲望）。志向，是被欲望所驱使的。欲望多了，则思想就会涣散；思想涣散了，则志向就会衰弱；志向衰弱了，则思考就不能畅达。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验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开始修养志向时，务必要先安定自己，自己安定则意志坚实；意志坚实则自身的威势不会分散。神明常固守于心，才能分散别人的威势。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48" w:name="__RefHeading___Toc2340_1773610119"/>
      <w:bookmarkStart w:id="149" w:name="_Toc2022631712"/>
      <w:bookmarkStart w:id="150" w:name="_Toc30321398"/>
      <w:bookmarkStart w:id="151" w:name="_Toc22646"/>
      <w:bookmarkStart w:id="152" w:name="_Toc47593244"/>
      <w:bookmarkStart w:id="153" w:name="_Toc153345599"/>
      <w:bookmarkStart w:id="154" w:name="_Toc30321444"/>
      <w:bookmarkStart w:id="155" w:name="_Toc534766007"/>
      <w:bookmarkEnd w:id="148"/>
      <w:r>
        <w:rPr>
          <w:rFonts w:ascii="华文宋体" w:hAnsi="华文宋体" w:eastAsia="华文宋体"/>
          <w:b w:val="false"/>
          <w:bCs w:val="false"/>
          <w:color w:val="000000"/>
        </w:rPr>
        <w:t>实意法螣蛇</w:t>
      </w:r>
      <w:bookmarkEnd w:id="149"/>
      <w:bookmarkEnd w:id="150"/>
      <w:bookmarkEnd w:id="151"/>
      <w:bookmarkEnd w:id="152"/>
      <w:bookmarkEnd w:id="153"/>
      <w:bookmarkEnd w:id="154"/>
      <w:bookmarkEnd w:id="155"/>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要安静，谋虑要深远。思想安静则神明丰富，谋虑深远则计谋容易成功；神明丰富则志向不会紊乱，计谋成功则即使公开也没有空隙可乘。意愿和思虑安定则思想就得以安宁，思想得以安宁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的没有收获，计谋就失败了，则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在无为的状态下去追求安静，五脏之气调和通达六腑，精神、魂魄各安其所而不动，才能做到用内心去看，反向着去听，使坚定志向。思虑到广大而虚空的境界，等待与神灵往来。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56" w:name="__RefHeading___Toc2342_1773610119"/>
      <w:bookmarkStart w:id="157" w:name="_Toc47593245"/>
      <w:bookmarkStart w:id="158" w:name="_Toc1490294709"/>
      <w:bookmarkStart w:id="159" w:name="_Toc12026"/>
      <w:bookmarkStart w:id="160" w:name="_Toc30321445"/>
      <w:bookmarkStart w:id="161" w:name="_Toc30321399"/>
      <w:bookmarkStart w:id="162" w:name="_Toc153345600"/>
      <w:bookmarkStart w:id="163" w:name="_Toc1710013847"/>
      <w:bookmarkEnd w:id="156"/>
      <w:r>
        <w:rPr>
          <w:rFonts w:ascii="华文宋体" w:hAnsi="华文宋体" w:eastAsia="华文宋体"/>
          <w:b w:val="false"/>
          <w:bCs w:val="false"/>
          <w:color w:val="000000"/>
        </w:rPr>
        <w:t>分威法伏熊</w:t>
      </w:r>
      <w:bookmarkEnd w:id="157"/>
      <w:bookmarkEnd w:id="158"/>
      <w:bookmarkEnd w:id="159"/>
      <w:bookmarkEnd w:id="160"/>
      <w:bookmarkEnd w:id="161"/>
      <w:bookmarkEnd w:id="162"/>
      <w:bookmarkEnd w:id="16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强盛。威力覆盖得强盛，则内心坚实。内心坚实，则威力分发之后就没有谁能够阻挡；没有谁能够阻挡，则能够通过分发给对方的威力来动摇对方的势力，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见的。详究于彼此的一唱一和，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知道稳固和充实自己的，是懂得自我修养的人；谦让己身的，是懂得教养他人的人。所以能够做到精神长存而进击之势毫不显现，才是可为的形势。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64" w:name="__RefHeading___Toc2344_1773610119"/>
      <w:bookmarkStart w:id="165" w:name="_Toc30321446"/>
      <w:bookmarkStart w:id="166" w:name="_Toc47593246"/>
      <w:bookmarkStart w:id="167" w:name="_Toc30321400"/>
      <w:bookmarkStart w:id="168" w:name="_Toc153345601"/>
      <w:bookmarkStart w:id="169" w:name="_Toc1172803545"/>
      <w:bookmarkStart w:id="170" w:name="_Toc5302"/>
      <w:bookmarkStart w:id="171" w:name="_Toc1470570454"/>
      <w:bookmarkEnd w:id="164"/>
      <w:r>
        <w:rPr>
          <w:rFonts w:ascii="华文宋体" w:hAnsi="华文宋体" w:eastAsia="华文宋体"/>
          <w:b w:val="false"/>
          <w:bCs w:val="false"/>
          <w:color w:val="000000"/>
        </w:rPr>
        <w:t>散势法鸷鸟</w:t>
      </w:r>
      <w:bookmarkEnd w:id="165"/>
      <w:bookmarkEnd w:id="166"/>
      <w:bookmarkEnd w:id="167"/>
      <w:bookmarkEnd w:id="168"/>
      <w:bookmarkEnd w:id="169"/>
      <w:bookmarkEnd w:id="170"/>
      <w:bookmarkEnd w:id="17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（敏捷，通“速”）</w:t>
      </w:r>
      <w:r>
        <w:rPr>
          <w:rFonts w:ascii="华文宋体" w:hAnsi="华文宋体" w:eastAsia="华文宋体"/>
        </w:rPr>
        <w:t>内盛，推间而行之，则势散。</w:t>
      </w:r>
    </w:p>
    <w:p>
      <w:pPr>
        <w:pStyle w:val="Normal"/>
        <w:ind w:firstLine="420"/>
        <w:rPr>
          <w:rFonts w:ascii="华文宋体" w:hAnsi="华文宋体" w:eastAsia="华文宋体"/>
        </w:rPr>
      </w:pPr>
      <w:r>
        <w:rPr>
          <w:rFonts w:ascii="华文宋体" w:hAnsi="华文宋体" w:eastAsia="华文宋体"/>
          <w:color w:val="7F7F7F"/>
          <w:sz w:val="15"/>
          <w:szCs w:val="13"/>
        </w:rPr>
        <w:t>散除势力，是由精神使唤的。运用此法，一定要循着对方的空隙而行动。威力迅速地在内心积聚至旺盛，再顺着对方的空隙而施行，则对方的势力可以散除。</w:t>
      </w:r>
    </w:p>
    <w:p>
      <w:pPr>
        <w:pStyle w:val="Normal"/>
        <w:ind w:firstLine="420"/>
        <w:rPr>
          <w:rFonts w:ascii="华文宋体" w:hAnsi="华文宋体" w:eastAsia="华文宋体"/>
        </w:rPr>
      </w:pPr>
      <w:r>
        <w:rPr>
          <w:rFonts w:ascii="华文宋体" w:hAnsi="华文宋体" w:eastAsia="华文宋体"/>
        </w:rPr>
        <w:t>夫散势者，心虚志溢。意衰威失，精神不专，其言外而多变。故观其志意为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这散除势力，思想要虚空且志向要充溢。意愿衰弱则威力丧失，精力和精神不专一，其表现在外的言语就会多变。所以要看对方的意志进行衡量谋划，才能够揣量游说、图谋事情，尽可能地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势力。散除势力，要等待对方出现空隙而后采取行动，一旦行动就能让对方的势力分散。所以善于思考对方空隙的人，必须在内精通五气（的运用），在外要观察对方的虚实，行动但不会失去分散对方势力的实效。行动则要跟随对方的意志，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所谓势力，是利和害的决策，是权变的威力。势力落败的，是因为不能迅速地凝神观察！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72" w:name="__RefHeading___Toc2346_1773610119"/>
      <w:bookmarkStart w:id="173" w:name="_Toc30321401"/>
      <w:bookmarkStart w:id="174" w:name="_Toc1880000984"/>
      <w:bookmarkStart w:id="175" w:name="_Toc47593247"/>
      <w:bookmarkStart w:id="176" w:name="_Toc153345602"/>
      <w:bookmarkStart w:id="177" w:name="_Toc8986"/>
      <w:bookmarkStart w:id="178" w:name="_Toc30321447"/>
      <w:bookmarkStart w:id="179" w:name="_Toc1210226060"/>
      <w:bookmarkEnd w:id="172"/>
      <w:r>
        <w:rPr>
          <w:rFonts w:ascii="华文宋体" w:hAnsi="华文宋体" w:eastAsia="华文宋体"/>
          <w:b w:val="false"/>
          <w:bCs w:val="false"/>
          <w:color w:val="000000"/>
        </w:rPr>
        <w:t>转圆法猛兽</w:t>
      </w:r>
      <w:bookmarkEnd w:id="173"/>
      <w:bookmarkEnd w:id="174"/>
      <w:bookmarkEnd w:id="175"/>
      <w:bookmarkEnd w:id="176"/>
      <w:bookmarkEnd w:id="177"/>
      <w:bookmarkEnd w:id="178"/>
      <w:bookmarkEnd w:id="179"/>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80" w:name="__RefHeading___Toc2348_1773610119"/>
      <w:bookmarkStart w:id="181" w:name="_Toc30321448"/>
      <w:bookmarkStart w:id="182" w:name="_Toc958547277"/>
      <w:bookmarkStart w:id="183" w:name="_Toc1750"/>
      <w:bookmarkStart w:id="184" w:name="_Toc47593248"/>
      <w:bookmarkStart w:id="185" w:name="_Toc30321402"/>
      <w:bookmarkStart w:id="186" w:name="_Toc153345603"/>
      <w:bookmarkStart w:id="187" w:name="_Toc964853272"/>
      <w:bookmarkEnd w:id="180"/>
      <w:r>
        <w:rPr>
          <w:rFonts w:ascii="华文宋体" w:hAnsi="华文宋体" w:eastAsia="华文宋体"/>
          <w:b w:val="false"/>
          <w:bCs w:val="false"/>
          <w:color w:val="000000"/>
        </w:rPr>
        <w:t>损兑法灵蓍</w:t>
      </w:r>
      <w:bookmarkEnd w:id="181"/>
      <w:bookmarkEnd w:id="182"/>
      <w:bookmarkEnd w:id="183"/>
      <w:bookmarkEnd w:id="184"/>
      <w:bookmarkEnd w:id="185"/>
      <w:bookmarkEnd w:id="186"/>
      <w:bookmarkEnd w:id="187"/>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Normal"/>
        <w:widowControl/>
        <w:suppressAutoHyphens w:val="true"/>
        <w:bidi w:val="0"/>
        <w:spacing w:lineRule="auto" w:line="360" w:before="0" w:after="0"/>
        <w:ind w:firstLine="420"/>
        <w:jc w:val="left"/>
        <w:rPr>
          <w:rFonts w:ascii="华文宋体" w:hAnsi="华文宋体" w:eastAsia="华文宋体"/>
        </w:rPr>
      </w:pPr>
      <w:r>
        <w:rPr>
          <w:rFonts w:eastAsia="华文宋体" w:ascii="华文宋体" w:hAnsi="华文宋体"/>
        </w:rPr>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auto"/>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181</TotalTime>
  <Application>LibreOffice/25.2.3.2$Linux_X86_64 LibreOffice_project/520$Build-2</Application>
  <AppVersion>15.0000</AppVersion>
  <Pages>29</Pages>
  <Words>36976</Words>
  <Characters>37115</Characters>
  <CharactersWithSpaces>37186</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2025-09-26T20:28:30Z</dcterms:modified>
  <cp:revision>355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