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4</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7</w:t>
            </w:r>
          </w:hyperlink>
        </w:p>
        <w:p>
          <w:pPr>
            <w:pStyle w:val="TOC1"/>
            <w:tabs>
              <w:tab w:val="clear" w:pos="9740"/>
              <w:tab w:val="right" w:pos="9739" w:leader="dot"/>
            </w:tabs>
            <w:rPr/>
          </w:pPr>
          <w:hyperlink w:anchor="__RefHeading___Toc2316_1773610119">
            <w:r>
              <w:rPr>
                <w:rStyle w:val="Style11"/>
              </w:rPr>
              <w:t>飞箝</w:t>
            </w:r>
            <w:r>
              <w:rPr>
                <w:rStyle w:val="Style11"/>
              </w:rPr>
              <w:tab/>
              <w:t>8</w:t>
            </w:r>
          </w:hyperlink>
        </w:p>
        <w:p>
          <w:pPr>
            <w:pStyle w:val="TOC1"/>
            <w:tabs>
              <w:tab w:val="clear" w:pos="9740"/>
              <w:tab w:val="right" w:pos="9739" w:leader="dot"/>
            </w:tabs>
            <w:rPr/>
          </w:pPr>
          <w:hyperlink w:anchor="__RefHeading___Toc2318_1773610119">
            <w:r>
              <w:rPr>
                <w:rStyle w:val="Style11"/>
              </w:rPr>
              <w:t>忤合</w:t>
            </w:r>
            <w:r>
              <w:rPr>
                <w:rStyle w:val="Style11"/>
              </w:rPr>
              <w:tab/>
              <w:t>9</w:t>
            </w:r>
          </w:hyperlink>
        </w:p>
        <w:p>
          <w:pPr>
            <w:pStyle w:val="TOC1"/>
            <w:tabs>
              <w:tab w:val="clear" w:pos="9740"/>
              <w:tab w:val="right" w:pos="9739" w:leader="dot"/>
            </w:tabs>
            <w:rPr/>
          </w:pPr>
          <w:hyperlink w:anchor="__RefHeading___Toc2320_1773610119">
            <w:r>
              <w:rPr>
                <w:rStyle w:val="Style11"/>
              </w:rPr>
              <w:t>揣篇</w:t>
            </w:r>
            <w:r>
              <w:rPr>
                <w:rStyle w:val="Style11"/>
              </w:rPr>
              <w:tab/>
              <w:t>10</w:t>
            </w:r>
          </w:hyperlink>
        </w:p>
        <w:p>
          <w:pPr>
            <w:pStyle w:val="TOC1"/>
            <w:tabs>
              <w:tab w:val="clear" w:pos="9740"/>
              <w:tab w:val="right" w:pos="9739" w:leader="dot"/>
            </w:tabs>
            <w:rPr/>
          </w:pPr>
          <w:hyperlink w:anchor="__RefHeading___Toc2322_1773610119">
            <w:r>
              <w:rPr>
                <w:rStyle w:val="Style11"/>
              </w:rPr>
              <w:t>摩篇</w:t>
            </w:r>
            <w:r>
              <w:rPr>
                <w:rStyle w:val="Style11"/>
              </w:rPr>
              <w:tab/>
              <w:t>11</w:t>
            </w:r>
          </w:hyperlink>
        </w:p>
        <w:p>
          <w:pPr>
            <w:pStyle w:val="TOC1"/>
            <w:tabs>
              <w:tab w:val="clear" w:pos="9740"/>
              <w:tab w:val="right" w:pos="9739" w:leader="dot"/>
            </w:tabs>
            <w:rPr/>
          </w:pPr>
          <w:hyperlink w:anchor="__RefHeading___Toc2324_1773610119">
            <w:r>
              <w:rPr>
                <w:rStyle w:val="Style11"/>
              </w:rPr>
              <w:t>权篇</w:t>
            </w:r>
            <w:r>
              <w:rPr>
                <w:rStyle w:val="Style11"/>
              </w:rPr>
              <w:tab/>
              <w:t>12</w:t>
            </w:r>
          </w:hyperlink>
        </w:p>
        <w:p>
          <w:pPr>
            <w:pStyle w:val="TOC1"/>
            <w:tabs>
              <w:tab w:val="clear" w:pos="9740"/>
              <w:tab w:val="right" w:pos="9739" w:leader="dot"/>
            </w:tabs>
            <w:rPr/>
          </w:pPr>
          <w:hyperlink w:anchor="__RefHeading___Toc2326_1773610119">
            <w:r>
              <w:rPr>
                <w:rStyle w:val="Style11"/>
              </w:rPr>
              <w:t>谋篇</w:t>
            </w:r>
            <w:r>
              <w:rPr>
                <w:rStyle w:val="Style11"/>
              </w:rPr>
              <w:tab/>
              <w:t>14</w:t>
            </w:r>
          </w:hyperlink>
        </w:p>
        <w:p>
          <w:pPr>
            <w:pStyle w:val="TOC1"/>
            <w:tabs>
              <w:tab w:val="clear" w:pos="9740"/>
              <w:tab w:val="right" w:pos="9739" w:leader="dot"/>
            </w:tabs>
            <w:rPr/>
          </w:pPr>
          <w:hyperlink w:anchor="__RefHeading___Toc2328_1773610119">
            <w:r>
              <w:rPr>
                <w:rStyle w:val="Style11"/>
              </w:rPr>
              <w:t>决篇</w:t>
            </w:r>
            <w:r>
              <w:rPr>
                <w:rStyle w:val="Style11"/>
              </w:rPr>
              <w:tab/>
              <w:t>16</w:t>
            </w:r>
          </w:hyperlink>
        </w:p>
        <w:p>
          <w:pPr>
            <w:pStyle w:val="TOC1"/>
            <w:tabs>
              <w:tab w:val="clear" w:pos="9740"/>
              <w:tab w:val="right" w:pos="9739" w:leader="dot"/>
            </w:tabs>
            <w:rPr/>
          </w:pPr>
          <w:hyperlink w:anchor="__RefHeading___Toc2330_1773610119">
            <w:r>
              <w:rPr>
                <w:rStyle w:val="Style11"/>
              </w:rPr>
              <w:t>符言</w:t>
            </w:r>
            <w:r>
              <w:rPr>
                <w:rStyle w:val="Style11"/>
              </w:rPr>
              <w:tab/>
              <w:t>16</w:t>
            </w:r>
          </w:hyperlink>
        </w:p>
        <w:p>
          <w:pPr>
            <w:pStyle w:val="TOC1"/>
            <w:tabs>
              <w:tab w:val="clear" w:pos="9740"/>
              <w:tab w:val="right" w:pos="9739" w:leader="dot"/>
            </w:tabs>
            <w:rPr/>
          </w:pPr>
          <w:hyperlink w:anchor="__RefHeading___Toc2332_1773610119">
            <w:r>
              <w:rPr>
                <w:rStyle w:val="Style11"/>
              </w:rPr>
              <w:t>转丸</w:t>
            </w:r>
            <w:r>
              <w:rPr>
                <w:rStyle w:val="Style11"/>
              </w:rPr>
              <w:tab/>
              <w:t>17</w:t>
            </w:r>
          </w:hyperlink>
        </w:p>
        <w:p>
          <w:pPr>
            <w:pStyle w:val="TOC1"/>
            <w:tabs>
              <w:tab w:val="clear" w:pos="9740"/>
              <w:tab w:val="right" w:pos="9739" w:leader="dot"/>
            </w:tabs>
            <w:rPr/>
          </w:pPr>
          <w:hyperlink w:anchor="__RefHeading___Toc2334_1773610119">
            <w:r>
              <w:rPr>
                <w:rStyle w:val="Style11"/>
              </w:rPr>
              <w:t>却乱</w:t>
            </w:r>
            <w:r>
              <w:rPr>
                <w:rStyle w:val="Style11"/>
              </w:rPr>
              <w:tab/>
              <w:t>18</w:t>
            </w:r>
          </w:hyperlink>
        </w:p>
        <w:p>
          <w:pPr>
            <w:pStyle w:val="TOC1"/>
            <w:tabs>
              <w:tab w:val="clear" w:pos="9740"/>
              <w:tab w:val="right" w:pos="9739" w:leader="dot"/>
            </w:tabs>
            <w:rPr/>
          </w:pPr>
          <w:hyperlink w:anchor="__RefHeading___Toc1620_2803666824_%25E5%">
            <w:r>
              <w:rPr>
                <w:rStyle w:val="Style11"/>
              </w:rPr>
              <w:t>持枢</w:t>
            </w:r>
            <w:r>
              <w:rPr>
                <w:rStyle w:val="Style11"/>
              </w:rPr>
              <w:tab/>
              <w:t>19</w:t>
            </w:r>
          </w:hyperlink>
        </w:p>
        <w:p>
          <w:pPr>
            <w:pStyle w:val="TOC1"/>
            <w:tabs>
              <w:tab w:val="clear" w:pos="9740"/>
              <w:tab w:val="right" w:pos="9739" w:leader="dot"/>
            </w:tabs>
            <w:rPr/>
          </w:pPr>
          <w:hyperlink w:anchor="__RefHeading___Toc1622_2803666824_%25E5%">
            <w:r>
              <w:rPr>
                <w:rStyle w:val="Style11"/>
              </w:rPr>
              <w:t>中经</w:t>
            </w:r>
            <w:r>
              <w:rPr>
                <w:rStyle w:val="Style11"/>
              </w:rPr>
              <w:tab/>
              <w:t>19</w:t>
            </w:r>
          </w:hyperlink>
        </w:p>
        <w:p>
          <w:pPr>
            <w:pStyle w:val="TOC1"/>
            <w:tabs>
              <w:tab w:val="clear" w:pos="9740"/>
              <w:tab w:val="right" w:pos="9739" w:leader="dot"/>
            </w:tabs>
            <w:rPr/>
          </w:pPr>
          <w:hyperlink w:anchor="__RefHeading___Toc2336_1773610119">
            <w:r>
              <w:rPr>
                <w:rStyle w:val="Style11"/>
              </w:rPr>
              <w:t>盛神法五龙</w:t>
            </w:r>
            <w:r>
              <w:rPr>
                <w:rStyle w:val="Style11"/>
              </w:rPr>
              <w:tab/>
              <w:t>21</w:t>
            </w:r>
          </w:hyperlink>
        </w:p>
        <w:p>
          <w:pPr>
            <w:pStyle w:val="TOC1"/>
            <w:tabs>
              <w:tab w:val="clear" w:pos="9740"/>
              <w:tab w:val="right" w:pos="9739" w:leader="dot"/>
            </w:tabs>
            <w:rPr/>
          </w:pPr>
          <w:hyperlink w:anchor="__RefHeading___Toc2338_1773610119">
            <w:r>
              <w:rPr>
                <w:rStyle w:val="Style11"/>
              </w:rPr>
              <w:t>养志法灵龟</w:t>
            </w:r>
            <w:r>
              <w:rPr>
                <w:rStyle w:val="Style11"/>
              </w:rPr>
              <w:tab/>
              <w:t>22</w:t>
            </w:r>
          </w:hyperlink>
        </w:p>
        <w:p>
          <w:pPr>
            <w:pStyle w:val="TOC1"/>
            <w:tabs>
              <w:tab w:val="clear" w:pos="9740"/>
              <w:tab w:val="right" w:pos="9739" w:leader="dot"/>
            </w:tabs>
            <w:rPr/>
          </w:pPr>
          <w:hyperlink w:anchor="__RefHeading___Toc2340_1773610119">
            <w:r>
              <w:rPr>
                <w:rStyle w:val="Style11"/>
              </w:rPr>
              <w:t>实意法螣蛇</w:t>
            </w:r>
            <w:r>
              <w:rPr>
                <w:rStyle w:val="Style11"/>
              </w:rPr>
              <w:tab/>
              <w:t>23</w:t>
            </w:r>
          </w:hyperlink>
        </w:p>
        <w:p>
          <w:pPr>
            <w:pStyle w:val="TOC1"/>
            <w:tabs>
              <w:tab w:val="clear" w:pos="9740"/>
              <w:tab w:val="right" w:pos="9739" w:leader="dot"/>
            </w:tabs>
            <w:rPr/>
          </w:pPr>
          <w:hyperlink w:anchor="__RefHeading___Toc2342_1773610119">
            <w:r>
              <w:rPr>
                <w:rStyle w:val="Style11"/>
              </w:rPr>
              <w:t>分威法伏熊</w:t>
            </w:r>
            <w:r>
              <w:rPr>
                <w:rStyle w:val="Style11"/>
              </w:rPr>
              <w:tab/>
              <w:t>24</w:t>
            </w:r>
          </w:hyperlink>
        </w:p>
        <w:p>
          <w:pPr>
            <w:pStyle w:val="TOC1"/>
            <w:tabs>
              <w:tab w:val="clear" w:pos="9740"/>
              <w:tab w:val="right" w:pos="9739" w:leader="dot"/>
            </w:tabs>
            <w:rPr/>
          </w:pPr>
          <w:hyperlink w:anchor="__RefHeading___Toc2344_1773610119">
            <w:r>
              <w:rPr>
                <w:rStyle w:val="Style11"/>
              </w:rPr>
              <w:t>散势法鸷鸟</w:t>
            </w:r>
            <w:r>
              <w:rPr>
                <w:rStyle w:val="Style11"/>
              </w:rPr>
              <w:tab/>
              <w:t>24</w:t>
            </w:r>
          </w:hyperlink>
        </w:p>
        <w:p>
          <w:pPr>
            <w:pStyle w:val="TOC1"/>
            <w:tabs>
              <w:tab w:val="clear" w:pos="9740"/>
              <w:tab w:val="right" w:pos="9739" w:leader="dot"/>
            </w:tabs>
            <w:rPr/>
          </w:pPr>
          <w:hyperlink w:anchor="__RefHeading___Toc2346_1773610119">
            <w:r>
              <w:rPr>
                <w:rStyle w:val="Style11"/>
              </w:rPr>
              <w:t>转圆法猛兽</w:t>
            </w:r>
            <w:r>
              <w:rPr>
                <w:rStyle w:val="Style11"/>
              </w:rPr>
              <w:tab/>
              <w:t>25</w:t>
            </w:r>
          </w:hyperlink>
        </w:p>
        <w:p>
          <w:pPr>
            <w:pStyle w:val="TOC1"/>
            <w:tabs>
              <w:tab w:val="clear" w:pos="9740"/>
              <w:tab w:val="right" w:pos="9739" w:leader="dot"/>
            </w:tabs>
            <w:rPr/>
          </w:pPr>
          <w:hyperlink w:anchor="__RefHeading___Toc2348_1773610119">
            <w:r>
              <w:rPr>
                <w:rStyle w:val="Style11"/>
              </w:rPr>
              <w:t>损兑法灵蓍</w:t>
            </w:r>
            <w:r>
              <w:rPr>
                <w:rStyle w:val="Style11"/>
              </w:rPr>
              <w:tab/>
              <w:t>25</w:t>
            </w:r>
          </w:hyperlink>
          <w:r>
            <w:rPr>
              <w:rStyle w:val="Style11"/>
            </w:rPr>
            <w:fldChar w:fldCharType="end"/>
          </w:r>
        </w:p>
      </w:sdtContent>
    </w:sdt>
    <w:p>
      <w:pPr>
        <w:pStyle w:val="TOC1"/>
        <w:tabs>
          <w:tab w:val="clear" w:pos="9740"/>
          <w:tab w:val="right" w:pos="9739" w:leader="dot"/>
        </w:tabs>
        <w:rPr/>
      </w:pPr>
      <w:r>
        <w:rPr/>
      </w:r>
    </w:p>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1756558214"/>
      <w:bookmarkStart w:id="2" w:name="_Toc11865"/>
      <w:bookmarkStart w:id="3" w:name="_Toc153345581"/>
      <w:bookmarkStart w:id="4" w:name="_Toc30321382"/>
      <w:bookmarkStart w:id="5" w:name="_Toc47593226"/>
      <w:bookmarkStart w:id="6" w:name="_Toc107271697"/>
      <w:bookmarkStart w:id="7" w:name="_Toc30321428"/>
      <w:bookmarkEnd w:id="0"/>
      <w:r>
        <w:rPr>
          <w:rFonts w:ascii="宋体" w:hAnsi="宋体" w:eastAsia="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纵观古今历史，圣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人在天下立身，从古至今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事物的变化无穷无尽，但各有自己的不同表现。有的归于阴，有的归于阳，有的柔弱，有的刚强，有的开放，有的封闭，有的松弛，有的紧张。所以圣人要始终把握事物发展变化的关键，详察其发展的先后过程，考察估量其权谋和才能，比较技巧上谁优谁劣。</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；阖而捭之，以求其利。</w:t>
      </w:r>
    </w:p>
    <w:p>
      <w:pPr>
        <w:pStyle w:val="Normal"/>
        <w:ind w:firstLine="420"/>
        <w:rPr>
          <w:rFonts w:ascii="宋体" w:hAnsi="宋体" w:eastAsia="宋体"/>
        </w:rPr>
      </w:pPr>
      <w:r>
        <w:rPr>
          <w:rFonts w:ascii="宋体" w:hAnsi="宋体" w:eastAsia="宋体"/>
          <w:color w:val="7F7F7F"/>
          <w:sz w:val="15"/>
          <w:szCs w:val="15"/>
        </w:rPr>
        <w:t>这人在贤良与不肖，智慧与愚笨，勇敢和怯懦上有差异。可以启用，也可以闭藏；可以擢进，也可以黜退；可以轻视，也可以敬重，要顺应人们的不同秉性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宋体" w:hAnsi="宋体" w:eastAsia="宋体"/>
        </w:rPr>
      </w:pPr>
      <w:r>
        <w:rPr>
          <w:rFonts w:ascii="宋体" w:hAnsi="宋体" w:eastAsia="宋体"/>
          <w:color w:val="000000"/>
        </w:rPr>
        <w:t>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捭之，是为了探测对方虚实真假；阖之，是为了争取对方的真诚合作。所有这些都是为了使对方显露实情，其权衡轻重缓急，然后再为对方做出谋划。圣人因而按照这样的方法为之考虑，其不符合权衡测度的地方，圣人因而只能自行考虑退路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 w:name="__RefHeading___Toc2310_1773610119"/>
      <w:bookmarkStart w:id="9" w:name="_Toc867234267"/>
      <w:bookmarkStart w:id="10" w:name="_Toc153345582"/>
      <w:bookmarkStart w:id="11" w:name="_Toc2372"/>
      <w:bookmarkStart w:id="12" w:name="_Toc47593227"/>
      <w:bookmarkStart w:id="13" w:name="_Toc30321429"/>
      <w:bookmarkStart w:id="14" w:name="_Toc30321383"/>
      <w:bookmarkStart w:id="15" w:name="_Toc859951715"/>
      <w:bookmarkEnd w:id="8"/>
      <w:r>
        <w:rPr>
          <w:rFonts w:ascii="宋体" w:hAnsi="宋体" w:eastAsia="宋体"/>
          <w:b w:val="false"/>
          <w:bCs w:val="false"/>
          <w:color w:val="000000"/>
        </w:rPr>
        <w:t>反应</w:t>
      </w:r>
      <w:bookmarkEnd w:id="9"/>
      <w:bookmarkEnd w:id="10"/>
      <w:bookmarkEnd w:id="11"/>
      <w:bookmarkEnd w:id="12"/>
      <w:bookmarkEnd w:id="13"/>
      <w:bookmarkEnd w:id="14"/>
      <w:bookmarkEnd w:id="15"/>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古时候能够化育万物的人，是与无形而又无处不在的大道共生的。他们都是从事物正反两个方面反复思考的：反观历史，再展望未来；反观过去，再看现在；反观对方，再来认识自我。动、静、虚、实的运动原理，如果与今天不相符合，可以回顾历史去寻找古人的经验。任何事物要有反观然后再考察目前的情况，这是圣人教导我们的，我们不可以不去仔细研究。</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val="false"/>
          <w:bCs w:val="false"/>
          <w:color w:val="000000"/>
        </w:rPr>
        <w:t>因</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理，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6" w:name="__RefHeading___Toc2312_1773610119"/>
      <w:bookmarkStart w:id="17" w:name="_Toc1908579548"/>
      <w:bookmarkStart w:id="18" w:name="_Toc30321384"/>
      <w:bookmarkStart w:id="19" w:name="_Toc30321430"/>
      <w:bookmarkStart w:id="20" w:name="_Toc153345583"/>
      <w:bookmarkStart w:id="21" w:name="_Toc11519"/>
      <w:bookmarkStart w:id="22" w:name="_Toc47593228"/>
      <w:bookmarkStart w:id="23" w:name="_Toc1644679059"/>
      <w:bookmarkEnd w:id="16"/>
      <w:r>
        <w:rPr>
          <w:rFonts w:ascii="宋体" w:hAnsi="宋体" w:eastAsia="宋体"/>
          <w:b w:val="false"/>
          <w:bCs w:val="false"/>
          <w:color w:val="000000"/>
        </w:rPr>
        <w:t>内揵</w:t>
      </w:r>
      <w:bookmarkEnd w:id="17"/>
      <w:bookmarkEnd w:id="18"/>
      <w:bookmarkEnd w:id="19"/>
      <w:bookmarkEnd w:id="20"/>
      <w:bookmarkEnd w:id="21"/>
      <w:bookmarkEnd w:id="22"/>
      <w:bookmarkEnd w:id="23"/>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（内，通“纳”，接纳，采纳；揵，通 “楗”，意为门闩，引申为连接、维系）</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遥闻其名便被君主日夜思念，这些事都源于接纳和维系，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内”就是游说君主使其接纳自己；所谓“揵”就是进献计谋以维系君臣关系。想要游说君主，务必先悄悄地揣测君主的心意；谋划事情的时候，务必顺从君主的心意，暗中分析我们的计谋是否符合时宜，向君主公开言明计谋的优劣得失，以此来迎合君主的心意。将要劝勉君主时必须选择适当的时机，以使计谋与君主的心意容易契合。详细地思考后再来进言，让君主觉得我们进献的计谋既合形势又合他心意。</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这游说接纳的过程中有不符合君主心意的地方，就不可付诸实践。这时就要重新揣摩形势，从有利于君主实施出发，改变策略。以变通的方式来游说接纳的人，就像用钥匙开锁那样，极易打开君主的心锁。游说时，凡是谈论过去的事情，要先顺应对方的言辞；凡是谈论未来的事情，要使用变通的语言。善于变通的人，要详细了解地理形势，精通天文四时的变化，只有这样才能驾驭鬼神，契合于阴阳变化的规律，从而掌控天下百姓。要了解君主谋划的事情，才能知晓君主的意图。事情有不合君主心意之处的，那是因为君主的某些实情我们还没有掌握；与君主心意相合但是不深入结交，那是因为彼此的关系表面亲密但实际疏远。事情有不合君主心意之处的，圣人是不会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那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如此运用这种方法，我们就可以自由自在地入政、出世，就可以侍君或离去都随自己的心意。圣人立身处世，都是预先掌握信息，才得以驾驭万事万物的。</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游说时）要遵照这道德、仁义、礼乐、忠信的要求，计策谋划要征引《诗经》和《尚书》中的语句（来验证自己的思路），再综合分析利弊得失，最后再决定就任还是离职。如果决定与君主结合，就要积极游说使接纳；如果决定远离君主，就要到外部为其效力。无论是到外部去为其效力还是积极游说使接纳，都必须明白其中的规律和技巧，然后揣度策划未来的事情，遇到疑难之事进行决断。在运用策略时只有做到不失算，才能不断建立功业和积累德政。</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为了谋求政绩名声而入仕建立功业，这叫维系君臣关系并且从内心相结合。如果上层昏庸不能治理政务，下层作乱而国君不能省悟，我们就要用谋略进谏君主并使他返归正道。如果碰到那种自视甚高、刚愎自用而听不进外人意见的，我们不妨先逢迎他，博取其欢心后再逐步说动他。如果有君主亲自颁发命令来召己，就要先迎合再设法逐步驾驭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4" w:name="__RefHeading___Toc2314_1773610119"/>
      <w:bookmarkStart w:id="25" w:name="_Toc169724352"/>
      <w:bookmarkStart w:id="26" w:name="_Toc30321385"/>
      <w:bookmarkStart w:id="27" w:name="_Toc30321431"/>
      <w:bookmarkStart w:id="28" w:name="_Toc153345584"/>
      <w:bookmarkStart w:id="29" w:name="_Toc47593229"/>
      <w:bookmarkStart w:id="30" w:name="_Toc13255"/>
      <w:bookmarkStart w:id="31" w:name="_Toc1557920471"/>
      <w:bookmarkEnd w:id="24"/>
      <w:r>
        <w:rPr>
          <w:rFonts w:ascii="宋体" w:hAnsi="宋体" w:eastAsia="宋体"/>
          <w:b w:val="false"/>
          <w:bCs w:val="false"/>
          <w:color w:val="000000"/>
        </w:rPr>
        <w:t>抵巇</w:t>
      </w:r>
      <w:bookmarkEnd w:id="25"/>
      <w:bookmarkEnd w:id="26"/>
      <w:bookmarkEnd w:id="27"/>
      <w:bookmarkEnd w:id="28"/>
      <w:bookmarkEnd w:id="29"/>
      <w:bookmarkEnd w:id="30"/>
      <w:bookmarkEnd w:id="31"/>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世间万物都有它的自然发展规律，事物也都有聚散离合的法则。有的近在身边却难以看透</w:t>
      </w:r>
      <w:r>
        <w:rPr>
          <w:rFonts w:eastAsia="宋体" w:ascii="宋体" w:hAnsi="宋体"/>
          <w:color w:val="7F7F7F"/>
          <w:sz w:val="15"/>
          <w:szCs w:val="15"/>
        </w:rPr>
        <w:t>,</w:t>
      </w:r>
      <w:r>
        <w:rPr>
          <w:rFonts w:ascii="宋体" w:hAnsi="宋体" w:eastAsia="宋体"/>
          <w:color w:val="7F7F7F"/>
          <w:sz w:val="15"/>
          <w:szCs w:val="15"/>
        </w:rPr>
        <w:t xml:space="preserve">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时，通过“抵”使其闭塞，通过“抵”使其减小，通过“抵”使具破裂停止，通过“抵”使其隐匿，通过“抵” 来取代它，这就是抵之术堵塞缝隙的基本原理。 </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当事情出现危险征兆的时候，圣人能洞察一切，并且采取措施进行自保。在能够自保后，圣人会顺应事物的变化来谈论事情，并暗中思量琢磨应对的计谋，以认识产生微隙的原因。事情初起时如秋毫之末那样微小，发展起来就可以产生撼动泰山根基的效果。所以把德政向外推行时，在罅隙尚处于萌芽状态时就采取谋划，都由抵巇之术来弥补。用抵巇术堵塞缝隙，是游说处世权术。</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人纷纷背离时，朝廷没有贤明的君主，公侯没有道德。则小人就会谗害圣贤，贤能之人也不会被任用。圣人逃匿躲藏起来，贪图利益、诡诈虚伪的人兴风作浪，君臣之间互相猜疑，国家纲纪土崩瓦解，以致各种势力互相攻战杀伐，父子离散不合，彼此反目成仇。这些就叫作 “轻微的裂痕” 。当圣人看到轻微的裂痕时，就会采取法治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必定有裂隙相伴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能够顺应和遵循自然规律来运用，是为天地的守护神。</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2" w:name="__RefHeading___Toc2316_1773610119"/>
      <w:bookmarkStart w:id="33" w:name="_Toc1943437535"/>
      <w:bookmarkStart w:id="34" w:name="_Toc30321386"/>
      <w:bookmarkStart w:id="35" w:name="_Toc153345585"/>
      <w:bookmarkStart w:id="36" w:name="_Toc264642135"/>
      <w:bookmarkStart w:id="37" w:name="_Toc30321432"/>
      <w:bookmarkStart w:id="38" w:name="_Toc23349"/>
      <w:bookmarkStart w:id="39" w:name="_Toc47593230"/>
      <w:bookmarkEnd w:id="32"/>
      <w:r>
        <w:rPr>
          <w:rFonts w:ascii="宋体" w:hAnsi="宋体" w:eastAsia="宋体"/>
          <w:b w:val="false"/>
          <w:bCs w:val="false"/>
          <w:color w:val="000000"/>
        </w:rPr>
        <w:t>飞箝</w:t>
      </w:r>
      <w:bookmarkEnd w:id="33"/>
      <w:bookmarkEnd w:id="34"/>
      <w:bookmarkEnd w:id="35"/>
      <w:bookmarkEnd w:id="36"/>
      <w:bookmarkEnd w:id="37"/>
      <w:bookmarkEnd w:id="38"/>
      <w:bookmarkEnd w:id="39"/>
    </w:p>
    <w:p>
      <w:pPr>
        <w:pStyle w:val="Normal"/>
        <w:ind w:firstLine="420"/>
        <w:rPr>
          <w:rFonts w:ascii="宋体" w:hAnsi="宋体" w:eastAsia="宋体"/>
        </w:rPr>
      </w:pPr>
      <w:r>
        <w:rPr>
          <w:rFonts w:ascii="宋体" w:hAnsi="宋体" w:eastAsia="宋体"/>
          <w:color w:val="000000"/>
        </w:rPr>
        <w:t>凡度权量能，所以徵远来近，立势而制事，必先察同异，别是非之语，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人的智谋、考量人的才干，必须广泛收集或远或近的各方面信息，制定确立威势的措施，观察对方的观点与自己的观点是否一致，辨别出对方言语中的是与非，了解对方言语中表面和背后的含义，识别对方是否具有高超的权谋韬略，决断事关安危的计策，确立君臣间的亲疏关系，然后再在实践中加以权衡考量。那些可以匡正我们决策的人，便征召他，聘请他，重用他。</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引用钩箝之辞，通过恭维来钳制他们。以钩箝的方式进行游说时，要忽而表示认同，忽而表示反对（以便了解对方的真实意图）。对于那些以钩钳之术仍没法控制的对手，可以先征召他，然后让他背上沉重的累赘。或者先让他背上沉重的累赘，然后毁灭他；或者以沉重的累赘作为毁灭的方式，或者以毁灭的方式让他背上沉重的累赘。其用法，或者先赏赐财物、美玉、珠宝、白璧丝绢、美女来侍奉他；或者依据他才能的大小，用名禄地位来吸引他；或者通过寻找漏洞来控制对方，以上办法都是要结合“抵巇之术”来运用的。</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想要将飞钳之术运用到天下，必须要揣度君主的权谋与能力，了解国家命运的盛衰趋势，裁决国家地形的宽窄和山川的攻守难易之处，国家人口、财富的多少，与诸侯的交往亲密谁，仇恨谁，喜好谁，憎恶谁，以及怀着什么样的心意。摸准了君主的心意，了解了他喜欢什么，讨厌什么，然后针对君主最重视的事进行游说，再用 “飞箝” 的言辞诱出对方的爱好所在，最后用 “钳” 的方法把君主控制住。</w:t>
      </w:r>
    </w:p>
    <w:p>
      <w:pPr>
        <w:pStyle w:val="Normal"/>
        <w:ind w:firstLine="420"/>
        <w:rPr>
          <w:rFonts w:ascii="宋体" w:hAnsi="宋体" w:eastAsia="宋体"/>
        </w:rPr>
      </w:pPr>
      <w:r>
        <w:rPr>
          <w:rFonts w:ascii="宋体" w:hAnsi="宋体" w:eastAsia="宋体"/>
          <w:color w:val="000000"/>
        </w:rPr>
        <w:t>用之于人，则量智能、权材力、料气势，为之枢机。以迎之、随之，以箝和之，以意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（法治，法度）</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对人使用飞箝之术，则要揣摩对方的智慧，权衡对方的才干，度量对方的气势，把对对方的充分了解作为与之相处的关键。去迎合他、追随他，用飞钳之术调和彼此的差距，以意志去疏导他，这就是用飞箝来联结。对人使用飞钳之术时，要先用赞扬、称颂手段去赞誉对方，使对方说出实情，然后紧紧与之联结，以探究其话语中的意图。可通过箝制对方的方式，使他向纵的方向，使他向横的方向；使他向东，使他向西；使他向南，使他向北；使他从起点返回，或者使他返回后再翻过来。虽然翻来覆去，但不能失去法度。</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0" w:name="__RefHeading___Toc2318_1773610119"/>
      <w:bookmarkStart w:id="41" w:name="_Toc1249941778"/>
      <w:bookmarkStart w:id="42" w:name="_Toc1452349820"/>
      <w:bookmarkStart w:id="43" w:name="_Toc47593231"/>
      <w:bookmarkStart w:id="44" w:name="_Toc30321433"/>
      <w:bookmarkStart w:id="45" w:name="_Toc15496"/>
      <w:bookmarkStart w:id="46" w:name="_Toc153345586"/>
      <w:bookmarkStart w:id="47" w:name="_Toc30321387"/>
      <w:bookmarkEnd w:id="40"/>
      <w:r>
        <w:rPr>
          <w:rFonts w:ascii="宋体" w:hAnsi="宋体" w:eastAsia="宋体"/>
          <w:b w:val="false"/>
          <w:bCs w:val="false"/>
          <w:color w:val="000000"/>
        </w:rPr>
        <w:t>忤合</w:t>
      </w:r>
      <w:bookmarkEnd w:id="41"/>
      <w:bookmarkEnd w:id="42"/>
      <w:bookmarkEnd w:id="43"/>
      <w:bookmarkEnd w:id="44"/>
      <w:bookmarkEnd w:id="45"/>
      <w:bookmarkEnd w:id="46"/>
      <w:bookmarkEnd w:id="47"/>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val="false"/>
          <w:bCs w:val="false"/>
          <w:color w:val="000000"/>
        </w:rPr>
        <w:t>观</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归向结合或背离转向，计策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观察天时是否适宜，经由分析知道哪些方面有余、哪些方面不足，以此做到先知其情，并随着实际情况运转变化。</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val="false"/>
          <w:bCs w:val="false"/>
          <w:color w:val="000000"/>
        </w:rPr>
        <w:t>反忤</w:t>
      </w:r>
      <w:r>
        <w:rPr>
          <w:rFonts w:ascii="宋体" w:hAnsi="宋体" w:eastAsia="宋体"/>
          <w:color w:val="000000"/>
        </w:rPr>
        <w:t>。反于此，忤于彼；忤于此，反于彼，其术也。</w:t>
      </w:r>
    </w:p>
    <w:p>
      <w:pPr>
        <w:pStyle w:val="Normal"/>
        <w:ind w:firstLine="420"/>
        <w:rPr>
          <w:rFonts w:ascii="宋体" w:hAnsi="宋体" w:eastAsia="宋体"/>
        </w:rPr>
      </w:pPr>
      <w:r>
        <w:rPr>
          <w:rFonts w:ascii="宋体" w:hAnsi="宋体" w:eastAsia="宋体"/>
          <w:color w:val="7F7F7F"/>
          <w:sz w:val="15"/>
          <w:szCs w:val="15"/>
        </w:rPr>
        <w:t>一生没有恒久的崇尚（对象），行事没有恒久的效法（对象）。圣智之人没有恒久交好的，没有不交好的；没有所有都听从的，没有不听从的。能成事，并且又合于我们的计策谋划，就应该以之作为主要交好对象。合乎那个就要背离这个；计策谋划不可能两头尽忠，一定会有反对和抵触的情况。转向这个，就要忤逆那个；忤逆这个，就要转向那个，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背离或迎合的人，能够调和四海，容纳诸侯；在需要忤合的地方，能够根据情况的变化来运转，然后探求与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8" w:name="__RefHeading___Toc2320_1773610119"/>
      <w:bookmarkStart w:id="49" w:name="_Toc720891011"/>
      <w:bookmarkStart w:id="50" w:name="_Toc30321388"/>
      <w:bookmarkStart w:id="51" w:name="_Toc153345587"/>
      <w:bookmarkStart w:id="52" w:name="_Toc30321434"/>
      <w:bookmarkStart w:id="53" w:name="_Toc12517"/>
      <w:bookmarkStart w:id="54" w:name="_Toc1401013603"/>
      <w:bookmarkStart w:id="55" w:name="_Toc47593232"/>
      <w:bookmarkEnd w:id="48"/>
      <w:r>
        <w:rPr>
          <w:rFonts w:ascii="宋体" w:hAnsi="宋体" w:eastAsia="宋体"/>
          <w:b w:val="false"/>
          <w:bCs w:val="false"/>
          <w:color w:val="000000"/>
        </w:rPr>
        <w:t>揣篇</w:t>
      </w:r>
      <w:bookmarkEnd w:id="49"/>
      <w:bookmarkEnd w:id="50"/>
      <w:bookmarkEnd w:id="51"/>
      <w:bookmarkEnd w:id="52"/>
      <w:bookmarkEnd w:id="53"/>
      <w:bookmarkEnd w:id="54"/>
      <w:bookmarkEnd w:id="55"/>
    </w:p>
    <w:p>
      <w:pPr>
        <w:pStyle w:val="Normal"/>
        <w:ind w:firstLine="420"/>
        <w:rPr>
          <w:rFonts w:ascii="宋体" w:hAnsi="宋体" w:eastAsia="宋体"/>
        </w:rPr>
      </w:pPr>
      <w:r>
        <w:rPr>
          <w:rFonts w:ascii="宋体" w:hAnsi="宋体" w:eastAsia="宋体"/>
          <w:color w:val="000000"/>
        </w:rPr>
        <w:t>古之善用天下者，必</w:t>
      </w:r>
      <w:r>
        <w:rPr>
          <w:rFonts w:ascii="宋体" w:hAnsi="宋体" w:eastAsia="宋体"/>
          <w:b/>
          <w:bCs/>
          <w:color w:val="000000"/>
        </w:rPr>
        <w:t>量</w:t>
      </w:r>
      <w:r>
        <w:rPr>
          <w:rFonts w:ascii="宋体" w:hAnsi="宋体" w:cs="Lucida Sans" w:eastAsia="宋体"/>
          <w:color w:val="7F7F7F"/>
          <w:kern w:val="2"/>
          <w:sz w:val="15"/>
          <w:szCs w:val="15"/>
          <w:lang w:val="en-US" w:eastAsia="zh-CN" w:bidi="hi-IN"/>
        </w:rPr>
        <w:t>（衡量，酌量）</w:t>
      </w:r>
      <w:r>
        <w:rPr>
          <w:rFonts w:ascii="宋体" w:hAnsi="宋体" w:eastAsia="宋体"/>
          <w:color w:val="000000"/>
        </w:rPr>
        <w:t>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的善于操纵天下局势的人，必定先衡量天下的政治形势，并且揣测诸侯的真实情况。衡量形势时不能做到详细，就不知道哪个诸侯国强大、哪个诸侯国弱小、哪个诸侯国不重要、哪个诸侯国重要；揣测诸侯的真实情况时不能做到详细，就不能掌握那些隐密微暗的信息和瞬息万变的世情。</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什么叫衡量形势（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揣测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这情感在内心发生变化的，会在外部表现出来。所以我们常常依据其外部表现去察知他内心隐藏的真情和欲望，这所以称之为“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政事的人，就应当详细地对形势进行衡量。游说诸侯国的君主，则应当详细地揣测真实情况，一切谋划和思虑、真情和欲望的出发点就在于此。善于“揣情”的人，就可以让人富贵，就可以让人贫贱；就可以让人被重视，就可以让人被轻贱；就可以获得利益，就可以遭到损害；就可以让人成功，就可以让人失败，其是否掌握“揣情”是关键之一。所以即使有古代帝王的治世经验，有圣智之士的高超智谋，不懂得“揣情”，面对着隐藏着的真实情况，也依然不能探索出对策。这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val="false"/>
          <w:bCs w:val="false"/>
          <w:color w:val="000000"/>
        </w:rPr>
        <w:t>美。</w:t>
      </w:r>
      <w:r>
        <w:rPr>
          <w:rFonts w:ascii="宋体" w:hAnsi="宋体" w:eastAsia="宋体"/>
          <w:color w:val="000000"/>
        </w:rPr>
        <w:t>生事者，</w:t>
      </w:r>
      <w:r>
        <w:rPr>
          <w:rFonts w:ascii="宋体" w:hAnsi="宋体" w:eastAsia="宋体"/>
          <w:b/>
          <w:bCs/>
          <w:color w:val="000000"/>
        </w:rPr>
        <w:t>几</w:t>
      </w:r>
      <w:r>
        <w:rPr>
          <w:rFonts w:ascii="宋体" w:hAnsi="宋体" w:cs="Lucida Sans" w:eastAsia="宋体"/>
          <w:color w:val="7F7F7F"/>
          <w:kern w:val="2"/>
          <w:sz w:val="15"/>
          <w:szCs w:val="15"/>
          <w:lang w:val="en-US" w:eastAsia="zh-CN" w:bidi="hi-IN"/>
        </w:rPr>
        <w:t>（幾，微也，殆也）</w:t>
      </w:r>
      <w:r>
        <w:rPr>
          <w:rFonts w:ascii="宋体" w:hAnsi="宋体" w:eastAsia="宋体"/>
          <w:color w:val="000000"/>
        </w:rPr>
        <w:t>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常常是有某事发生在某人身上，这个人不能预先测知；在事情发生前便能测知将要发生的事，这是最难办到的。所以说：揣情的精髓是最难把握的，人们的言辞之中必定时常夹带有自己的谋划和思虑。所以观察是蚊子的飞动和虫子的蠕动，也无不藏有趋利避害的关系，可以让发生的事情变得美好。每当事情发生，起初都呈现一种微弱的态势。这就要求我们善于揣情、善于修饰言辞，使符合礼乐法度，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6" w:name="__RefHeading___Toc2322_1773610119"/>
      <w:bookmarkStart w:id="57" w:name="_Toc1614659360"/>
      <w:bookmarkStart w:id="58" w:name="_Toc47593233"/>
      <w:bookmarkStart w:id="59" w:name="_Toc27965"/>
      <w:bookmarkStart w:id="60" w:name="_Toc710633081"/>
      <w:bookmarkStart w:id="61" w:name="_Toc30321435"/>
      <w:bookmarkStart w:id="62" w:name="_Toc30321389"/>
      <w:bookmarkStart w:id="63" w:name="_Toc153345588"/>
      <w:bookmarkEnd w:id="56"/>
      <w:r>
        <w:rPr>
          <w:rFonts w:ascii="宋体" w:hAnsi="宋体" w:eastAsia="宋体"/>
          <w:b w:val="false"/>
          <w:bCs w:val="false"/>
          <w:color w:val="000000"/>
        </w:rPr>
        <w:t>摩篇</w:t>
      </w:r>
      <w:bookmarkEnd w:id="57"/>
      <w:bookmarkEnd w:id="58"/>
      <w:bookmarkEnd w:id="59"/>
      <w:bookmarkEnd w:id="60"/>
      <w:bookmarkEnd w:id="61"/>
      <w:bookmarkEnd w:id="62"/>
      <w:bookmarkEnd w:id="63"/>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摩，是揣情之术。仔细观察与内心活动相符合的外在反应，是揣情的主旨。运用“摩”有一定的规律，就是必须隐密地进行（而不被人察觉）。暗地里对人实施摩术，根据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古代善于摩的人，如同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智之人谋划行动总是在暗中进行，所以被称为“神”，成功而显现在光天化日之下，所以被称为“明”。所谓主持国家政治、经济大事一天比一天取得更大的成效，就是积累德政，老百姓安居乐业，却并不知道谁给了他们利益；他们积累善政，民众都在遵循却并不知道为什么这么做，因此普天之下的人们都把这样的圣智之士称作“神明”。指挥军队每天都打胜仗，是因为他经常不战而胜，不耗费资财，民众不知道他怎样使敌人臣服，不知道他怎样使敌人畏惧，因此普天之下的人们都把这样的圣智之士称作“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宜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曲意迎合。所以圣智之人独自使用的这些方法，普通人也都可以使用，但是很少有人成功，其原则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谋略最难做到的是周密无隙，游说最难做到的是让别人完全听从，办事最难做到的是一定要取得成功。这三种境界，只有圣智之人才能够达到。所以谋略必须想着把它策划周密，必须选择与自己可以心意相通的对象一起谋划。所以说：要时常结合得没有缝隙。这事情的成功，必须符合游说的技巧。这叫作客观规律、行动方法与时机三者相互配合。</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想让游说对象听从，必定要与其真实情况相合，所以说：两情相合便听从、采纳。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4" w:name="__RefHeading___Toc2324_1773610119"/>
      <w:bookmarkStart w:id="65" w:name="_Toc1948308334"/>
      <w:bookmarkStart w:id="66" w:name="_Toc585797414"/>
      <w:bookmarkStart w:id="67" w:name="_Toc30321390"/>
      <w:bookmarkStart w:id="68" w:name="_Toc153345589"/>
      <w:bookmarkStart w:id="69" w:name="_Toc1178"/>
      <w:bookmarkStart w:id="70" w:name="_Toc30321436"/>
      <w:bookmarkStart w:id="71" w:name="_Toc47593234"/>
      <w:bookmarkEnd w:id="64"/>
      <w:r>
        <w:rPr>
          <w:rFonts w:ascii="宋体" w:hAnsi="宋体" w:eastAsia="宋体"/>
          <w:b w:val="false"/>
          <w:bCs w:val="false"/>
          <w:color w:val="000000"/>
        </w:rPr>
        <w:t>权篇</w:t>
      </w:r>
      <w:bookmarkEnd w:id="65"/>
      <w:bookmarkEnd w:id="66"/>
      <w:bookmarkEnd w:id="67"/>
      <w:bookmarkEnd w:id="68"/>
      <w:bookmarkEnd w:id="69"/>
      <w:bookmarkEnd w:id="70"/>
      <w:bookmarkEnd w:id="71"/>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即通过谄媚的语言来隐藏自己真实的意图，从而显得忠诚；谀言，即堆砌一些华丽的辞藻，从而显得智慧；平言，即通过果决、直截了当的话，从而显得勇敢；戚言，即根据形势帮其权衡各方进献的策略，以赢得对方的信任；静言，即通过抓住对方的说辩缺陷而攻击对方的不足，从而显得善于取胜。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有烦琐的言辞但思路不乱，行动自由但不会迷失主方向，情况千变万化也不会有危险，其关键就在于观察到了要点并悟得其中的原理。所以对于视觉不敏锐的人，不能和他欣赏缤纷斑斓的颜色；对于听觉不敏锐的人，不能和他聆听动听的音乐。如果不去游说，就不能打开对方的心扉；如果不让人来游说，就不能接受对方的谋略。双方信息不通畅的，圣智之人不会去冒然行事。古人有言：“口可以用来吃饭，但不能用来乱说。”用口说出的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忌讳的言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施行。所以游说智慧的人要靠博识多闻的言辞，游说博识多闻的人要靠条理明晰的言辞，游说明晰事理的人要依靠要点明确的言辞，游说达官贵人要围绕权势来进行，游说富人时要以尊重的态度，游说贫穷的人要从利益方面入手，游说卑贱的人要态度谦和，游说勇敢的人要果敢有力，游说愚蠢的人要靠锐利（十分明确，毫不含糊）的言辞。这是游说他人的方法，但人们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智慧的人谈话时，就用这些方法去阐述道理；与愚笨的人谈话时，就要把这些方法教给他，然而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2" w:name="__RefHeading___Toc2326_1773610119"/>
      <w:bookmarkStart w:id="73" w:name="_Toc1224311797"/>
      <w:bookmarkStart w:id="74" w:name="_Toc153345590"/>
      <w:bookmarkStart w:id="75" w:name="_Toc30321437"/>
      <w:bookmarkStart w:id="76" w:name="_Toc30321391"/>
      <w:bookmarkStart w:id="77" w:name="_Toc20293"/>
      <w:bookmarkStart w:id="78" w:name="_Toc47593235"/>
      <w:bookmarkStart w:id="79" w:name="_Toc1911504720"/>
      <w:bookmarkEnd w:id="72"/>
      <w:r>
        <w:rPr>
          <w:rFonts w:ascii="宋体" w:hAnsi="宋体" w:eastAsia="宋体"/>
          <w:b w:val="false"/>
          <w:bCs w:val="false"/>
          <w:color w:val="000000"/>
        </w:rPr>
        <w:t>谋篇</w:t>
      </w:r>
      <w:bookmarkEnd w:id="73"/>
      <w:bookmarkEnd w:id="74"/>
      <w:bookmarkEnd w:id="75"/>
      <w:bookmarkEnd w:id="76"/>
      <w:bookmarkEnd w:id="77"/>
      <w:bookmarkEnd w:id="78"/>
      <w:bookmarkEnd w:id="79"/>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w:t>
      </w:r>
      <w:bookmarkStart w:id="80" w:name="_GoBack"/>
      <w:bookmarkEnd w:id="80"/>
      <w:r>
        <w:rPr>
          <w:rFonts w:ascii="宋体" w:hAnsi="宋体" w:eastAsia="宋体"/>
          <w:color w:val="000000"/>
        </w:rPr>
        <w:t>也。夫度材、量能、揣情者，亦事之司南也。</w:t>
      </w:r>
    </w:p>
    <w:p>
      <w:pPr>
        <w:pStyle w:val="Normal"/>
        <w:ind w:firstLine="420"/>
        <w:rPr>
          <w:rFonts w:ascii="宋体" w:hAnsi="宋体" w:eastAsia="宋体"/>
        </w:rPr>
      </w:pPr>
      <w:r>
        <w:rPr>
          <w:rFonts w:ascii="宋体" w:hAnsi="宋体" w:eastAsia="宋体"/>
          <w:color w:val="7F7F7F"/>
          <w:sz w:val="15"/>
          <w:szCs w:val="15"/>
        </w:rPr>
        <w:t>凡是谋略都具有一定的规律，必须要得到的事情的起因，以探求其中的实情。考察并得到其实情况，继而制定三种策略。所谓三种策略，是为上策、中策、下策。将这三种策略互相参验，相互吸收互补，以制定出解决问题的奇策良谋来。真正的奇策良谋不应该让人感觉有所壅塞或阻挡，这个设计原则从古代开始就已经被人们所遵从。所以郑国人到山里去采玉时，必定带着能指示方向的司南车，为的是不迷失方向。这忖度对方的才干，称量对方的能力，揣量对方的真实情况，也相当于因事立计的“指南车”。</w:t>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这有仁德的人不看重财货，不能用利益去诱惑他，可以让他出资资助；勇敢的人轻视危难，不能用祸患去恐吓他，可以让他去据守危险之地；智者通达于道数，明白事理，不能用欺诈手段去欺骗他，可以向他讲明道理，可以让他建功立业，这就是所谓仁人、勇士、智者的“三才”。所以愚昧的人容易用欺骗的手段蒙蔽，不肖的人容易用威胁的手段恐吓，贪婪的人容易用金钱的手段诱惑，这是根据不同的人来决定策略。所以强大的人，是从弱小开始一点点积累起来的；正直的人，是从改正邪僻开始一点点累积起来的；智慧有余的人，是从不足开始一点点积累起来的。（懂得这个道理，）道术就能够得以施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就他；要顺着对方所憎恶的事情来为他权衡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计谋的使用，大庭广众之下谋划不如在私下里谋划，私下里谋划不如结成死党谋划，结成死党谋划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面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所以要除掉一个人，就要先放纵他；等到其放纵作恶而留下把柄时，再顺理成章地控制他。表情表现得不喜形于色也不怒目相对的人，所以可以将机密大事托付给他。（在用人方面，）可以了解的人，可以用；不可以了解的人，有智谋的人是不会用他的。所以说，做任何事崇尚制约别人，而不崇尚显露自己后被别人所制约。制约住了别人，就掌握了主动权；显露自己后被别人所制约，别人就会制约自己的命运。所以圣智之人运用智谋的原则是隐而不露，愚蠢之人运用智谋的方式是大肆张扬。有智谋的人做事比较容易成功，而没有智谋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w:t>
      </w:r>
      <w:r>
        <w:rPr>
          <w:rFonts w:ascii="宋体" w:hAnsi="宋体" w:eastAsia="宋体"/>
          <w:b/>
          <w:bCs/>
          <w:color w:val="000000"/>
        </w:rPr>
        <w:t>彀</w:t>
      </w:r>
      <w:r>
        <w:rPr>
          <w:rFonts w:ascii="宋体" w:hAnsi="宋体" w:cs="Lucida Sans" w:eastAsia="宋体"/>
          <w:color w:val="7F7F7F"/>
          <w:kern w:val="2"/>
          <w:sz w:val="15"/>
          <w:szCs w:val="15"/>
          <w:lang w:val="en-US" w:eastAsia="zh-CN" w:bidi="hi-IN"/>
        </w:rPr>
        <w:t>（古同“够”，达到）</w:t>
      </w:r>
      <w:r>
        <w:rPr>
          <w:rFonts w:ascii="宋体" w:hAnsi="宋体" w:eastAsia="宋体"/>
          <w:color w:val="000000"/>
        </w:rPr>
        <w:t>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（运用智谋）不仅要求忠信、仁义，（还要求）中正罢了；处理事情的办法通达于这里面的意思，则可以与他谈论（智谋）。遵循并且能接受这个，则可以达到让远近的人都受到教导的目的。</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1" w:name="__RefHeading___Toc2328_1773610119"/>
      <w:bookmarkStart w:id="82" w:name="_Toc720541667"/>
      <w:bookmarkStart w:id="83" w:name="_Toc662898066"/>
      <w:bookmarkStart w:id="84" w:name="_Toc47593236"/>
      <w:bookmarkStart w:id="85" w:name="_Toc30321392"/>
      <w:bookmarkStart w:id="86" w:name="_Toc30321438"/>
      <w:bookmarkStart w:id="87" w:name="_Toc153345591"/>
      <w:bookmarkStart w:id="88" w:name="_Toc6958"/>
      <w:bookmarkEnd w:id="81"/>
      <w:r>
        <w:rPr>
          <w:rFonts w:ascii="宋体" w:hAnsi="宋体" w:eastAsia="宋体"/>
          <w:b w:val="false"/>
          <w:bCs w:val="false"/>
          <w:color w:val="000000"/>
        </w:rPr>
        <w:t>决篇</w:t>
      </w:r>
      <w:bookmarkEnd w:id="82"/>
      <w:bookmarkEnd w:id="83"/>
      <w:bookmarkEnd w:id="84"/>
      <w:bookmarkEnd w:id="85"/>
      <w:bookmarkEnd w:id="86"/>
      <w:bookmarkEnd w:id="87"/>
      <w:bookmarkEnd w:id="88"/>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一定要诱导对方讲出自己的所思所想及一切真实情况，最终使我们行动起来时没有任何迷惑和偏差。要能给对方带来利益，一旦去掉这种利益他就不会接受，并会惊异于当初为什么要托付你来进行决断。如果能给对方带来利益，但是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方式：有的凭借公开施行恩德，有的凭借暗中伤害，有的凭借信誉和诚实，有的凭借蒙蔽和隐瞒，有的凭借平素的交往。“阳”的方式，要力求说话前后一致；“阴”的方式，要力求一句话两种意思（一语双关），令人摸不透我们的真意；再配合平素的交往以及关键时刻的应变，此四者都要微妙地加以综合运用。于是用过去的经验作为衡量，来验证未来事情的发展趋势，再参考平素发生的案例，可行的话就做出决定。为王公大人谋划事情，有危险但事情成功后能获得美好名声的事情，只要可行，则可以做出决定；不用耗费大的气力和精力就容易获得成功的事情，只要可行，则可以做出决定；有些事情虽然费力勤苦，然而却不得已得这样干的事情，只要可行，则可以做出决定；能排除忧患的事情，只要可行，则可以做出决定；能带来幸福的事情，只要可行，则可以做出决定。</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val="false"/>
          <w:bCs w:val="false"/>
          <w:color w:val="000000"/>
        </w:rPr>
        <w:t>以</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所以这决断实情、平定疑难，是处理一切事情的基础。以公正（的态度）来治理乱世，决定着事业的成败，是不好办的。所以古代帝王才采用蓍草和龟甲占卜的方式，以帮助自己做决策。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9" w:name="__RefHeading___Toc2330_1773610119"/>
      <w:bookmarkStart w:id="90" w:name="_Toc940007052"/>
      <w:bookmarkStart w:id="91" w:name="_Toc30321393"/>
      <w:bookmarkStart w:id="92" w:name="_Toc47593237"/>
      <w:bookmarkStart w:id="93" w:name="_Toc30321439"/>
      <w:bookmarkStart w:id="94" w:name="_Toc22821"/>
      <w:bookmarkStart w:id="95" w:name="_Toc1459315182"/>
      <w:bookmarkStart w:id="96" w:name="_Toc153345592"/>
      <w:bookmarkEnd w:id="89"/>
      <w:r>
        <w:rPr>
          <w:rFonts w:ascii="宋体" w:hAnsi="宋体" w:eastAsia="宋体"/>
          <w:b w:val="false"/>
          <w:bCs w:val="false"/>
          <w:color w:val="000000"/>
        </w:rPr>
        <w:t>符言</w:t>
      </w:r>
      <w:bookmarkEnd w:id="90"/>
      <w:bookmarkEnd w:id="91"/>
      <w:bookmarkEnd w:id="92"/>
      <w:bookmarkEnd w:id="93"/>
      <w:bookmarkEnd w:id="94"/>
      <w:bookmarkEnd w:id="95"/>
      <w:bookmarkEnd w:id="96"/>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w:t>
      </w:r>
      <w:r>
        <w:rPr>
          <w:rFonts w:ascii="宋体" w:hAnsi="宋体" w:eastAsia="宋体"/>
          <w:b/>
          <w:bCs/>
          <w:color w:val="000000"/>
        </w:rPr>
        <w:t>诚</w:t>
      </w:r>
      <w:r>
        <w:rPr>
          <w:rFonts w:ascii="宋体" w:hAnsi="宋体" w:cs="Lucida Sans" w:eastAsia="宋体"/>
          <w:color w:val="7F7F7F"/>
          <w:kern w:val="2"/>
          <w:sz w:val="15"/>
          <w:szCs w:val="15"/>
          <w:lang w:val="en-US" w:eastAsia="zh-CN" w:bidi="hi-IN"/>
        </w:rPr>
        <w:t>（诚，信也）</w:t>
      </w:r>
      <w:r>
        <w:rPr>
          <w:rFonts w:ascii="宋体" w:hAnsi="宋体" w:eastAsia="宋体"/>
          <w:color w:val="000000"/>
        </w:rPr>
        <w:t>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达于天地，感通于神明，更何况那些试图用奸邪手段冒犯君主的人？（在“诚”的面前，奸邪之术自然无法得逞。）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五官</w:t>
      </w:r>
      <w:r>
        <w:rPr>
          <w:rFonts w:ascii="宋体" w:hAnsi="宋体" w:eastAsia="宋体"/>
          <w:color w:val="7F7F7F"/>
          <w:sz w:val="15"/>
          <w:szCs w:val="15"/>
        </w:rPr>
        <w:t>（《礼记</w:t>
      </w:r>
      <w:r>
        <w:rPr>
          <w:rFonts w:eastAsia="宋体" w:ascii="宋体" w:hAnsi="宋体"/>
          <w:color w:val="7F7F7F"/>
          <w:sz w:val="15"/>
          <w:szCs w:val="15"/>
        </w:rPr>
        <w:t>·</w:t>
      </w:r>
      <w:r>
        <w:rPr>
          <w:rFonts w:ascii="宋体" w:hAnsi="宋体" w:eastAsia="宋体"/>
          <w:color w:val="7F7F7F"/>
          <w:sz w:val="15"/>
          <w:szCs w:val="15"/>
        </w:rPr>
        <w:t>曲礼下》记载：天子之五官，曰司徒、司马、司空、司士、司寇）</w:t>
      </w:r>
      <w:r>
        <w:rPr>
          <w:rFonts w:ascii="宋体" w:hAnsi="宋体" w:eastAsia="宋体"/>
          <w:color w:val="000000"/>
        </w:rPr>
        <w:t>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众官的首长。做了善事的，君主就要对其进行赏赐；做了恶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b/>
          <w:bCs/>
          <w:color w:val="000000"/>
        </w:rPr>
        <w:t>人主</w:t>
      </w:r>
      <w:r>
        <w:rPr>
          <w:rFonts w:ascii="宋体" w:hAnsi="宋体" w:cs="Lucida Sans" w:eastAsia="宋体"/>
          <w:color w:val="7F7F7F"/>
          <w:kern w:val="2"/>
          <w:sz w:val="15"/>
          <w:szCs w:val="15"/>
          <w:lang w:val="en-US" w:eastAsia="zh-CN" w:bidi="hi-IN"/>
        </w:rPr>
        <w:t>（旧时专指一国之主，即帝王）</w:t>
      </w:r>
      <w:r>
        <w:rPr>
          <w:rFonts w:ascii="宋体" w:hAnsi="宋体" w:eastAsia="宋体"/>
          <w:color w:val="000000"/>
        </w:rPr>
        <w:t>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人主考虑事情不能不周密；人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97" w:name="_GoBack_副本_1"/>
      <w:bookmarkStart w:id="98" w:name="_GoBack_副本_1"/>
      <w:bookmarkEnd w:id="98"/>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99" w:name="__RefHeading___Toc2332_1773610119"/>
      <w:bookmarkStart w:id="100" w:name="_Toc250844796"/>
      <w:bookmarkStart w:id="101" w:name="_Toc1194849932"/>
      <w:bookmarkStart w:id="102" w:name="_Toc2528"/>
      <w:bookmarkStart w:id="103" w:name="_Toc47593238"/>
      <w:bookmarkStart w:id="104" w:name="_Toc30321440"/>
      <w:bookmarkStart w:id="105" w:name="_Toc153345593"/>
      <w:bookmarkStart w:id="106" w:name="_Toc30321394"/>
      <w:bookmarkEnd w:id="99"/>
      <w:r>
        <w:rPr>
          <w:rFonts w:ascii="宋体" w:hAnsi="宋体" w:eastAsia="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转丸的运用，圣智之人隐逸之。大概是因为人情世故、顺境逆境的变化，将聪慧灵巧寄托于无形。然而想要改变的人多，成功克服困难的人很少，所以圣智之人没有话说了。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107" w:name="_Hlk180865361"/>
      <w:r>
        <w:rPr>
          <w:rFonts w:ascii="宋体" w:hAnsi="宋体" w:eastAsia="宋体"/>
        </w:rPr>
        <w:t>戳</w:t>
      </w:r>
      <w:bookmarkEnd w:id="107"/>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遵循规律而行。像拿着圆球，抱在怀中能够转化，圆的轨道，顺畅并且没有阻碍。如同用矛戳盾，拿“虚”来进攻“实”。如同运载土产，车辐和车轸一到，再用车键固定住车轴，就可以轻易简便地移动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形势如果不能成就，等待畜养一段时间后再作平定；时机没有满足，安静地加以等候。积蓄恩德去营造形势，如同执形可以驱影，动必有应，行必有随，转丸如同戏耍一样。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w:t>
      </w:r>
      <w:r>
        <w:rPr>
          <w:rFonts w:ascii="宋体" w:hAnsi="宋体" w:eastAsia="宋体"/>
          <w:b/>
          <w:bCs/>
        </w:rPr>
        <w:t>而</w:t>
      </w:r>
      <w:r>
        <w:rPr>
          <w:rFonts w:ascii="宋体" w:hAnsi="宋体" w:cs="Lucida Sans" w:eastAsia="宋体"/>
          <w:color w:val="7F7F7F"/>
          <w:kern w:val="2"/>
          <w:sz w:val="15"/>
          <w:szCs w:val="13"/>
          <w:lang w:val="en-US" w:eastAsia="zh-CN" w:bidi="hi-IN"/>
        </w:rPr>
        <w:t>（能够）</w:t>
      </w:r>
      <w:r>
        <w:rPr>
          <w:rFonts w:ascii="宋体" w:hAnsi="宋体" w:eastAsia="宋体"/>
        </w:rPr>
        <w:t>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以损为益者，都是因为能够担当眼前且能顾及未来。视得如失者，乾坤哪有不平定的？否能够转为泰，得废弃至爱的珍宝，这是转丸的规律啊！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108" w:name="__RefHeading___Toc2334_1773610119"/>
      <w:bookmarkStart w:id="109" w:name="_Toc1342299349"/>
      <w:bookmarkStart w:id="110" w:name="_Toc30321395"/>
      <w:bookmarkStart w:id="111" w:name="_Toc2240"/>
      <w:bookmarkStart w:id="112" w:name="_Toc153345594"/>
      <w:bookmarkStart w:id="113" w:name="_Toc47593239"/>
      <w:bookmarkStart w:id="114" w:name="_Toc30321441"/>
      <w:bookmarkStart w:id="115" w:name="_Toc1178546249"/>
      <w:bookmarkEnd w:id="108"/>
      <w:r>
        <w:rPr>
          <w:rFonts w:ascii="宋体" w:hAnsi="宋体" w:eastAsia="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世人对世事没有深刻的认识，也没有做相应的防备，因此到处乱象丛生。修炼积累多年，常常忧虑会毁于一旦，人很少能够防备。善防备者在面临危乱时不会忧虑，应付紧急情况最为困难，故称为“却乱”。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人）对背面的事就没有防备，其变化无穷，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人，被形象所迷，被道理所惑，被外表所蔽，被内里所困；（看透）表象靠视觉，（通达）条理靠知觉。通过欺瞒的的手段制造视听、用动听的言语和伪善的面目取悦于人、各种利益托付，事理无非是奔走钻营。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6" w:name="__RefHeading___Toc1620_2803666824_副本_1_副"/>
      <w:bookmarkStart w:id="117" w:name="_Toc1482718402_副本_1"/>
      <w:bookmarkStart w:id="118" w:name="_Toc30321403_副本_1"/>
      <w:bookmarkStart w:id="119" w:name="_Toc30321449_副本_1"/>
      <w:bookmarkStart w:id="120" w:name="_Toc47593240_副本_1_副本_1"/>
      <w:bookmarkStart w:id="121" w:name="_Toc1495_副本_1"/>
      <w:bookmarkStart w:id="122" w:name="_Toc1406991709_副本_1"/>
      <w:bookmarkStart w:id="123" w:name="_Toc153345595_副本_1_副本_1"/>
      <w:bookmarkEnd w:id="116"/>
      <w:r>
        <w:rPr>
          <w:rFonts w:ascii="宋体" w:hAnsi="宋体" w:eastAsia="宋体"/>
          <w:b w:val="false"/>
          <w:bCs w:val="false"/>
          <w:color w:val="000000"/>
        </w:rPr>
        <w:t>持枢</w:t>
      </w:r>
      <w:bookmarkEnd w:id="117"/>
      <w:bookmarkEnd w:id="118"/>
      <w:bookmarkEnd w:id="119"/>
      <w:bookmarkEnd w:id="120"/>
      <w:bookmarkEnd w:id="121"/>
      <w:bookmarkEnd w:id="122"/>
      <w:bookmarkEnd w:id="123"/>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掌握关键（遵循关键法则），就是说春季让万物萌生，夏季让万物成长，秋季让万物收获，冬季让万物储藏，这是自然的正常运行，不可以冲犯和违背。违背的人，即便一时成功也必然走向失败。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君主（治国）也有类似（自然法则）的关键法则，即创造生机（如鼓励生育、开创事业）、滋养百姓（完善教化、培育民力）、成就事业（如完善制度、巩固治理）、敛藏休养（如节俭蓄力、韬光养晦），也同样是不能冲犯和违背的；违背的人，即使一时强盛也必然走向衰败。这个是天道（自然规律），是君主（治国）的根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24" w:name="__RefHeading___Toc1622_2803666824_副本_1_副"/>
      <w:bookmarkStart w:id="125" w:name="_Toc178184531_副本_1"/>
      <w:bookmarkStart w:id="126" w:name="_Toc30321450_副本_1"/>
      <w:bookmarkStart w:id="127" w:name="_Toc76662972_副本_1"/>
      <w:bookmarkStart w:id="128" w:name="_Toc17765_副本_1"/>
      <w:bookmarkStart w:id="129" w:name="_Toc30321404_副本_1"/>
      <w:bookmarkStart w:id="130" w:name="_Toc47593241_副本_1_副本_1"/>
      <w:bookmarkStart w:id="131" w:name="_Toc153345596_副本_1_副本_1"/>
      <w:bookmarkEnd w:id="124"/>
      <w:r>
        <w:rPr>
          <w:rFonts w:ascii="宋体" w:hAnsi="宋体" w:eastAsia="宋体"/>
          <w:b w:val="false"/>
          <w:bCs w:val="false"/>
          <w:color w:val="000000"/>
        </w:rPr>
        <w:t>中经</w:t>
      </w:r>
      <w:bookmarkEnd w:id="125"/>
      <w:bookmarkEnd w:id="126"/>
      <w:bookmarkEnd w:id="127"/>
      <w:bookmarkEnd w:id="128"/>
      <w:bookmarkEnd w:id="129"/>
      <w:bookmarkEnd w:id="130"/>
      <w:bookmarkEnd w:id="131"/>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自然规律。而拯救他人于拘泥固执的人，能够豢养、驱使小人。士人在世道动乱、时局危急时，或许应当凭借智慧免遭坑害；或许应当戕害能够直言者；或许应当放弃仁德并成为一方雄主；或许应当压制和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注重制约别人，而不注重被别人制约。能制约别人的人，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嫌隙挑拨两强相互争斗。强大的双方因为产生嫌隙而争斗，对胜利的一方，宣扬其功劳，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嫌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（通“仿”，效法）</w:t>
      </w:r>
      <w:r>
        <w:rPr>
          <w:rFonts w:ascii="宋体" w:hAnsi="宋体" w:eastAsia="宋体"/>
          <w:b/>
          <w:bCs/>
        </w:rPr>
        <w:t>验</w:t>
      </w:r>
      <w:r>
        <w:rPr>
          <w:rFonts w:ascii="宋体" w:hAnsi="宋体" w:eastAsia="宋体"/>
          <w:color w:val="7F7F7F"/>
          <w:sz w:val="15"/>
          <w:szCs w:val="13"/>
        </w:rPr>
        <w:t>（检查；检验）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效法并检验他的技能，然后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再喜形于色地描述一些自己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val="false"/>
          <w:bCs w:val="false"/>
        </w:rPr>
        <w:t>所</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color w:val="7F7F7F"/>
          <w:sz w:val="15"/>
          <w:szCs w:val="13"/>
        </w:rPr>
      </w:pPr>
      <w:r>
        <w:rPr>
          <w:rFonts w:ascii="宋体" w:hAnsi="宋体" w:eastAsia="宋体"/>
          <w:color w:val="7F7F7F"/>
          <w:sz w:val="15"/>
          <w:szCs w:val="13"/>
        </w:rPr>
        <w:t>所谓“守义”，就是守持仁义，去探测对方的内心世界，以求彼此相合。刺探对方内心，以非常清楚地了解对方的主要意图。然后从外部制造影响去约束他的内心，当事情与我们有关联，理亏的情况下就随从他。所以小人亲比人，则是用旁门左道的方式（如脑控、整蛊），导致能够败家失国。不是贤良智慧的人，不能用“义”来守持家，不能用“道”来守持国。圣智之人之所以注重道之微妙，的确是因为“道”可以使家、国转危为安，拯救危亡使其存续啊！</w:t>
      </w:r>
    </w:p>
    <w:p>
      <w:pPr>
        <w:pStyle w:val="Normal"/>
        <w:ind w:firstLine="420"/>
        <w:rPr>
          <w:color w:val="7F7F7F"/>
          <w:sz w:val="24"/>
          <w:szCs w:val="24"/>
        </w:rPr>
      </w:pPr>
      <w:r>
        <w:rPr>
          <w:color w:val="7F7F7F"/>
          <w:sz w:val="24"/>
          <w:szCs w:val="24"/>
        </w:rPr>
      </w:r>
    </w:p>
    <w:p>
      <w:pPr>
        <w:pStyle w:val="Normal"/>
        <w:ind w:firstLine="420"/>
        <w:rPr>
          <w:color w:val="7F7F7F"/>
          <w:sz w:val="24"/>
          <w:szCs w:val="24"/>
        </w:rPr>
      </w:pPr>
      <w:r>
        <w:rPr>
          <w:color w:val="7F7F7F"/>
          <w:sz w:val="24"/>
          <w:szCs w:val="24"/>
        </w:rPr>
      </w:r>
    </w:p>
    <w:p>
      <w:pPr>
        <w:pStyle w:val="11"/>
        <w:spacing w:lineRule="auto" w:line="360"/>
        <w:jc w:val="center"/>
        <w:rPr>
          <w:rFonts w:ascii="宋体" w:hAnsi="宋体" w:eastAsia="宋体"/>
        </w:rPr>
      </w:pPr>
      <w:bookmarkStart w:id="132" w:name="__RefHeading___Toc2336_1773610119"/>
      <w:bookmarkStart w:id="133" w:name="_Toc1773995429"/>
      <w:bookmarkStart w:id="134" w:name="_Toc30321396"/>
      <w:bookmarkStart w:id="135" w:name="_Toc30321442"/>
      <w:bookmarkStart w:id="136" w:name="_Toc9755"/>
      <w:bookmarkStart w:id="137" w:name="_Toc153345597"/>
      <w:bookmarkStart w:id="138" w:name="_Toc715452631"/>
      <w:bookmarkStart w:id="139" w:name="_Toc47593242"/>
      <w:bookmarkEnd w:id="132"/>
      <w:r>
        <w:rPr>
          <w:rFonts w:ascii="宋体" w:hAnsi="宋体" w:eastAsia="宋体"/>
          <w:b w:val="false"/>
          <w:bCs w:val="false"/>
          <w:color w:val="000000"/>
        </w:rPr>
        <w:t>盛神法五龙</w:t>
      </w:r>
      <w:bookmarkEnd w:id="133"/>
      <w:bookmarkEnd w:id="134"/>
      <w:bookmarkEnd w:id="135"/>
      <w:bookmarkEnd w:id="136"/>
      <w:bookmarkEnd w:id="137"/>
      <w:bookmarkEnd w:id="138"/>
      <w:bookmarkEnd w:id="139"/>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（一，惟初太始，道立于一，造分天地，化成万物。这里的意思为“和合”）</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40" w:name="_GoBack_Copy_1_Copy_1"/>
      <w:bookmarkEnd w:id="140"/>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41" w:name="__RefHeading___Toc2338_1773610119"/>
      <w:bookmarkStart w:id="142" w:name="_Toc841495716"/>
      <w:bookmarkStart w:id="143" w:name="_Toc192592109"/>
      <w:bookmarkStart w:id="144" w:name="_Toc22664"/>
      <w:bookmarkStart w:id="145" w:name="_Toc30321443"/>
      <w:bookmarkStart w:id="146" w:name="_Toc47593243"/>
      <w:bookmarkStart w:id="147" w:name="_Toc30321397"/>
      <w:bookmarkStart w:id="148" w:name="_Toc153345598"/>
      <w:bookmarkEnd w:id="141"/>
      <w:r>
        <w:rPr>
          <w:rFonts w:ascii="宋体" w:hAnsi="宋体" w:eastAsia="宋体"/>
          <w:b w:val="false"/>
          <w:bCs w:val="false"/>
          <w:color w:val="000000"/>
        </w:rPr>
        <w:t>养志法灵龟</w:t>
      </w:r>
      <w:bookmarkEnd w:id="142"/>
      <w:bookmarkEnd w:id="143"/>
      <w:bookmarkEnd w:id="144"/>
      <w:bookmarkEnd w:id="145"/>
      <w:bookmarkEnd w:id="146"/>
      <w:bookmarkEnd w:id="147"/>
      <w:bookmarkEnd w:id="148"/>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9" w:name="__RefHeading___Toc2340_1773610119"/>
      <w:bookmarkStart w:id="150" w:name="_Toc534766007"/>
      <w:bookmarkStart w:id="151" w:name="_Toc30321444"/>
      <w:bookmarkStart w:id="152" w:name="_Toc153345599"/>
      <w:bookmarkStart w:id="153" w:name="_Toc47593244"/>
      <w:bookmarkStart w:id="154" w:name="_Toc22646"/>
      <w:bookmarkStart w:id="155" w:name="_Toc30321398"/>
      <w:bookmarkStart w:id="156" w:name="_Toc2022631712"/>
      <w:bookmarkEnd w:id="149"/>
      <w:r>
        <w:rPr>
          <w:rFonts w:ascii="宋体" w:hAnsi="宋体" w:eastAsia="宋体"/>
          <w:b w:val="false"/>
          <w:bCs w:val="false"/>
          <w:color w:val="000000"/>
        </w:rPr>
        <w:t>实意法螣蛇</w:t>
      </w:r>
      <w:bookmarkEnd w:id="150"/>
      <w:bookmarkEnd w:id="151"/>
      <w:bookmarkEnd w:id="152"/>
      <w:bookmarkEnd w:id="153"/>
      <w:bookmarkEnd w:id="154"/>
      <w:bookmarkEnd w:id="155"/>
      <w:bookmarkEnd w:id="156"/>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57" w:name="__RefHeading___Toc2342_1773610119"/>
      <w:bookmarkStart w:id="158" w:name="_Toc1710013847"/>
      <w:bookmarkStart w:id="159" w:name="_Toc153345600"/>
      <w:bookmarkStart w:id="160" w:name="_Toc30321399"/>
      <w:bookmarkStart w:id="161" w:name="_Toc30321445"/>
      <w:bookmarkStart w:id="162" w:name="_Toc12026"/>
      <w:bookmarkStart w:id="163" w:name="_Toc1490294709"/>
      <w:bookmarkStart w:id="164" w:name="_Toc47593245"/>
      <w:bookmarkEnd w:id="157"/>
      <w:r>
        <w:rPr>
          <w:rFonts w:ascii="宋体" w:hAnsi="宋体" w:eastAsia="宋体"/>
          <w:b w:val="false"/>
          <w:bCs w:val="false"/>
          <w:color w:val="000000"/>
        </w:rPr>
        <w:t>分威法伏熊</w:t>
      </w:r>
      <w:bookmarkEnd w:id="158"/>
      <w:bookmarkEnd w:id="159"/>
      <w:bookmarkEnd w:id="160"/>
      <w:bookmarkEnd w:id="161"/>
      <w:bookmarkEnd w:id="162"/>
      <w:bookmarkEnd w:id="163"/>
      <w:bookmarkEnd w:id="164"/>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65" w:name="__RefHeading___Toc2344_1773610119"/>
      <w:bookmarkStart w:id="166" w:name="_Toc1470570454"/>
      <w:bookmarkStart w:id="167" w:name="_Toc5302"/>
      <w:bookmarkStart w:id="168" w:name="_Toc1172803545"/>
      <w:bookmarkStart w:id="169" w:name="_Toc153345601"/>
      <w:bookmarkStart w:id="170" w:name="_Toc30321400"/>
      <w:bookmarkStart w:id="171" w:name="_Toc47593246"/>
      <w:bookmarkStart w:id="172" w:name="_Toc30321446"/>
      <w:bookmarkEnd w:id="165"/>
      <w:r>
        <w:rPr>
          <w:rFonts w:ascii="宋体" w:hAnsi="宋体" w:eastAsia="宋体"/>
          <w:b w:val="false"/>
          <w:bCs w:val="false"/>
          <w:color w:val="000000"/>
        </w:rPr>
        <w:t>散势法鸷鸟</w:t>
      </w:r>
      <w:bookmarkEnd w:id="166"/>
      <w:bookmarkEnd w:id="167"/>
      <w:bookmarkEnd w:id="168"/>
      <w:bookmarkEnd w:id="169"/>
      <w:bookmarkEnd w:id="170"/>
      <w:bookmarkEnd w:id="171"/>
      <w:bookmarkEnd w:id="172"/>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73" w:name="__RefHeading___Toc2346_1773610119"/>
      <w:bookmarkStart w:id="174" w:name="_Toc1210226060"/>
      <w:bookmarkStart w:id="175" w:name="_Toc30321447"/>
      <w:bookmarkStart w:id="176" w:name="_Toc8986"/>
      <w:bookmarkStart w:id="177" w:name="_Toc153345602"/>
      <w:bookmarkStart w:id="178" w:name="_Toc47593247"/>
      <w:bookmarkStart w:id="179" w:name="_Toc1880000984"/>
      <w:bookmarkStart w:id="180" w:name="_Toc30321401"/>
      <w:bookmarkEnd w:id="173"/>
      <w:r>
        <w:rPr>
          <w:rFonts w:ascii="宋体" w:hAnsi="宋体" w:eastAsia="宋体"/>
          <w:b w:val="false"/>
          <w:bCs w:val="false"/>
          <w:color w:val="000000"/>
        </w:rPr>
        <w:t>转圆法猛兽</w:t>
      </w:r>
      <w:bookmarkEnd w:id="174"/>
      <w:bookmarkEnd w:id="175"/>
      <w:bookmarkEnd w:id="176"/>
      <w:bookmarkEnd w:id="177"/>
      <w:bookmarkEnd w:id="178"/>
      <w:bookmarkEnd w:id="179"/>
      <w:bookmarkEnd w:id="180"/>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81" w:name="__RefHeading___Toc2348_1773610119"/>
      <w:bookmarkStart w:id="182" w:name="_Toc964853272"/>
      <w:bookmarkStart w:id="183" w:name="_Toc153345603"/>
      <w:bookmarkStart w:id="184" w:name="_Toc30321402"/>
      <w:bookmarkStart w:id="185" w:name="_Toc47593248"/>
      <w:bookmarkStart w:id="186" w:name="_Toc1750"/>
      <w:bookmarkStart w:id="187" w:name="_Toc958547277"/>
      <w:bookmarkStart w:id="188" w:name="_Toc30321448"/>
      <w:bookmarkEnd w:id="181"/>
      <w:r>
        <w:rPr>
          <w:rFonts w:ascii="宋体" w:hAnsi="宋体" w:eastAsia="宋体"/>
          <w:b w:val="false"/>
          <w:bCs w:val="false"/>
          <w:color w:val="000000"/>
        </w:rPr>
        <w:t>损兑法灵蓍</w:t>
      </w:r>
      <w:bookmarkEnd w:id="182"/>
      <w:bookmarkEnd w:id="183"/>
      <w:bookmarkEnd w:id="184"/>
      <w:bookmarkEnd w:id="185"/>
      <w:bookmarkEnd w:id="186"/>
      <w:bookmarkEnd w:id="187"/>
      <w:bookmarkEnd w:id="188"/>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Normal"/>
        <w:widowControl/>
        <w:suppressAutoHyphens w:val="true"/>
        <w:bidi w:val="0"/>
        <w:spacing w:lineRule="auto" w:line="360" w:before="0" w:after="0"/>
        <w:ind w:firstLine="420"/>
        <w:jc w:val="left"/>
        <w:rPr>
          <w:rFonts w:ascii="宋体" w:hAnsi="宋体" w:eastAsia="宋体"/>
        </w:rPr>
      </w:pPr>
      <w:r>
        <w:rPr>
          <w:rFonts w:eastAsia="宋体" w:ascii="宋体" w:hAnsi="宋体"/>
        </w:rPr>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customStyle="1">
    <w:name w:val="索引链接 (user)"/>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Style11" w:customStyle="1">
    <w:name w:val="索引链接"/>
    <w:uiPriority w:val="0"/>
    <w:qFormat/>
    <w:rPr/>
  </w:style>
  <w:style w:type="paragraph" w:styleId="Style12"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customStyle="1">
    <w:name w:val="索引"/>
    <w:basedOn w:val="Normal"/>
    <w:uiPriority w:val="0"/>
    <w:qFormat/>
    <w:pPr>
      <w:suppressLineNumbers/>
    </w:pPr>
    <w:rPr>
      <w:rFonts w:cs="Lucida Sans"/>
    </w:rPr>
  </w:style>
  <w:style w:type="paragraph" w:styleId="user2"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3" w:customStyle="1">
    <w:name w:val="索引 (user)"/>
    <w:basedOn w:val="Normal"/>
    <w:uiPriority w:val="0"/>
    <w:qFormat/>
    <w:pPr>
      <w:suppressLineNumbers/>
    </w:pPr>
    <w:rPr>
      <w:rFonts w:cs="Lucida Sans"/>
    </w:rPr>
  </w:style>
  <w:style w:type="paragraph" w:styleId="Style14" w:customStyle="1">
    <w:name w:val="页眉与页脚"/>
    <w:basedOn w:val="Normal"/>
    <w:uiPriority w:val="0"/>
    <w:qFormat/>
    <w:pPr/>
    <w:rPr/>
  </w:style>
  <w:style w:type="paragraph" w:styleId="user4" w:customStyle="1">
    <w:name w:val="页眉与页脚 (user)"/>
    <w:basedOn w:val="Normal"/>
    <w:uiPriority w:val="0"/>
    <w:qFormat/>
    <w:pPr/>
    <w:rPr/>
  </w:style>
  <w:style w:type="paragraph" w:styleId="Footer">
    <w:name w:val="footer"/>
    <w:basedOn w:val="user4"/>
    <w:uiPriority w:val="0"/>
    <w:pPr/>
    <w:rPr/>
  </w:style>
  <w:style w:type="paragraph" w:styleId="TOC1">
    <w:name w:val="toc 1"/>
    <w:basedOn w:val="user3"/>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4"/>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2"/>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4"/>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4"/>
    <w:uiPriority w:val="0"/>
    <w:qFormat/>
    <w:pPr/>
    <w:rPr/>
  </w:style>
  <w:style w:type="paragraph" w:styleId="indexheading1" w:customStyle="1">
    <w:name w:val="index heading1"/>
    <w:basedOn w:val="user2"/>
    <w:uiPriority w:val="0"/>
    <w:qFormat/>
    <w:pPr>
      <w:keepNext w:val="true"/>
      <w:widowControl/>
      <w:suppressLineNumbers/>
      <w:suppressAutoHyphens w:val="true"/>
    </w:pPr>
    <w:rPr>
      <w:b/>
      <w:bCs/>
      <w:sz w:val="32"/>
      <w:szCs w:val="32"/>
    </w:rPr>
  </w:style>
  <w:style w:type="paragraph" w:styleId="24" w:customStyle="1">
    <w:name w:val="索引标题2"/>
    <w:basedOn w:val="user2"/>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157</TotalTime>
  <Application>LibreOffice/25.2.5.2$Windows_X86_64 LibreOffice_project/03d19516eb2e1dd5d4ccd751a0d6f35f35e08022</Application>
  <AppVersion>15.0000</AppVersion>
  <Pages>26</Pages>
  <Words>37001</Words>
  <Characters>37140</Characters>
  <CharactersWithSpaces>37211</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2025-09-20T20:39:07Z</dcterms:modified>
  <cp:revision>343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