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22</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来为他权衡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cs="Lucida Sans" w:eastAsia="宋体"/>
          <w:color w:val="7F7F7F"/>
          <w:kern w:val="2"/>
          <w:sz w:val="15"/>
          <w:szCs w:val="15"/>
          <w:lang w:val="en-US" w:eastAsia="zh-CN" w:bidi="hi-IN"/>
        </w:rPr>
        <w:t>（古同“够”，达到）</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val="false"/>
          <w:bCs w:val="false"/>
          <w:color w:val="000000"/>
        </w:rPr>
        <w:t>以</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w:t>
      </w:r>
      <w:r>
        <w:rPr>
          <w:rFonts w:ascii="宋体" w:hAnsi="宋体" w:eastAsia="宋体"/>
          <w:b/>
          <w:bCs/>
          <w:color w:val="000000"/>
        </w:rPr>
        <w:t>诚</w:t>
      </w:r>
      <w:r>
        <w:rPr>
          <w:rFonts w:ascii="宋体" w:hAnsi="宋体" w:cs="Lucida Sans" w:eastAsia="宋体"/>
          <w:color w:val="7F7F7F"/>
          <w:kern w:val="2"/>
          <w:sz w:val="15"/>
          <w:szCs w:val="15"/>
          <w:lang w:val="en-US" w:eastAsia="zh-CN" w:bidi="hi-IN"/>
        </w:rPr>
        <w:t>（诚，信也）</w:t>
      </w:r>
      <w:r>
        <w:rPr>
          <w:rFonts w:ascii="宋体" w:hAnsi="宋体" w:eastAsia="宋体"/>
          <w:color w:val="000000"/>
        </w:rPr>
        <w:t>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五官</w:t>
      </w:r>
      <w:r>
        <w:rPr>
          <w:rFonts w:ascii="宋体" w:hAnsi="宋体" w:eastAsia="宋体"/>
          <w:color w:val="7F7F7F"/>
          <w:sz w:val="15"/>
          <w:szCs w:val="15"/>
        </w:rPr>
        <w:t>（《礼记</w:t>
      </w:r>
      <w:r>
        <w:rPr>
          <w:rFonts w:eastAsia="宋体" w:ascii="宋体" w:hAnsi="宋体"/>
          <w:color w:val="7F7F7F"/>
          <w:sz w:val="15"/>
          <w:szCs w:val="15"/>
        </w:rPr>
        <w:t>·</w:t>
      </w:r>
      <w:r>
        <w:rPr>
          <w:rFonts w:ascii="宋体" w:hAnsi="宋体" w:eastAsia="宋体"/>
          <w:color w:val="7F7F7F"/>
          <w:sz w:val="15"/>
          <w:szCs w:val="15"/>
        </w:rPr>
        <w:t>曲礼下》记载：天子之五官，曰司徒、司马、司空、司士、司寇）</w:t>
      </w:r>
      <w:r>
        <w:rPr>
          <w:rFonts w:ascii="宋体" w:hAnsi="宋体" w:eastAsia="宋体"/>
          <w:color w:val="000000"/>
        </w:rPr>
        <w:t>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b/>
          <w:bCs/>
          <w:color w:val="000000"/>
        </w:rPr>
        <w:t>人主</w:t>
      </w:r>
      <w:r>
        <w:rPr>
          <w:rFonts w:ascii="宋体" w:hAnsi="宋体" w:cs="Lucida Sans" w:eastAsia="宋体"/>
          <w:color w:val="7F7F7F"/>
          <w:kern w:val="2"/>
          <w:sz w:val="15"/>
          <w:szCs w:val="15"/>
          <w:lang w:val="en-US" w:eastAsia="zh-CN" w:bidi="hi-IN"/>
        </w:rPr>
        <w:t>（旧时专指一国之主，即帝王）</w:t>
      </w:r>
      <w:r>
        <w:rPr>
          <w:rFonts w:ascii="宋体" w:hAnsi="宋体" w:eastAsia="宋体"/>
          <w:color w:val="000000"/>
        </w:rPr>
        <w:t>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w:t>
      </w:r>
      <w:r>
        <w:rPr>
          <w:rFonts w:ascii="宋体" w:hAnsi="宋体" w:eastAsia="宋体"/>
          <w:b/>
          <w:bCs/>
        </w:rPr>
        <w:t>而</w:t>
      </w:r>
      <w:r>
        <w:rPr>
          <w:rFonts w:ascii="宋体" w:hAnsi="宋体" w:cs="Lucida Sans" w:eastAsia="宋体"/>
          <w:color w:val="7F7F7F"/>
          <w:kern w:val="2"/>
          <w:sz w:val="15"/>
          <w:szCs w:val="13"/>
          <w:lang w:val="en-US" w:eastAsia="zh-CN" w:bidi="hi-IN"/>
        </w:rPr>
        <w:t>（能够）</w:t>
      </w:r>
      <w:r>
        <w:rPr>
          <w:rFonts w:ascii="宋体" w:hAnsi="宋体" w:eastAsia="宋体"/>
        </w:rPr>
        <w:t>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149</TotalTime>
  <Application>LibreOffice/25.2.5.2$Windows_X86_64 LibreOffice_project/03d19516eb2e1dd5d4ccd751a0d6f35f35e08022</Application>
  <AppVersion>15.0000</AppVersion>
  <Pages>26</Pages>
  <Words>36972</Words>
  <Characters>37106</Characters>
  <CharactersWithSpaces>37177</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2025-09-18T20:47:46Z</dcterms:modified>
  <cp:revision>336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