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22</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25E">
            <w:r>
              <w:rPr>
                <w:rStyle w:val="Style12"/>
              </w:rPr>
              <w:t>持枢</w:t>
            </w:r>
            <w:r>
              <w:rPr>
                <w:rStyle w:val="Style12"/>
              </w:rPr>
              <w:tab/>
              <w:t>24</w:t>
            </w:r>
          </w:hyperlink>
        </w:p>
        <w:p>
          <w:pPr>
            <w:pStyle w:val="TOC1"/>
            <w:tabs>
              <w:tab w:val="clear" w:pos="9740"/>
              <w:tab w:val="right" w:pos="9739" w:leader="dot"/>
            </w:tabs>
            <w:rPr/>
          </w:pPr>
          <w:hyperlink w:anchor="__RefHeading___Toc1622_2803666824_%2525E">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1865"/>
      <w:bookmarkStart w:id="2" w:name="_Toc47593226"/>
      <w:bookmarkStart w:id="3" w:name="_Toc30321382"/>
      <w:bookmarkStart w:id="4" w:name="_Toc30321428"/>
      <w:bookmarkStart w:id="5" w:name="_Toc153345581"/>
      <w:bookmarkStart w:id="6" w:name="_Toc107271697"/>
      <w:bookmarkEnd w:id="0"/>
      <w:r>
        <w:rPr>
          <w:rFonts w:ascii="宋体" w:hAnsi="宋体" w:eastAsia="宋体"/>
          <w:b w:val="false"/>
          <w:bCs w:val="false"/>
          <w:color w:val="000000"/>
        </w:rPr>
        <w:t>捭阖</w:t>
      </w:r>
      <w:bookmarkEnd w:id="1"/>
      <w:bookmarkEnd w:id="2"/>
      <w:bookmarkEnd w:id="3"/>
      <w:bookmarkEnd w:id="4"/>
      <w:bookmarkEnd w:id="5"/>
      <w:bookmarkEnd w:id="6"/>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那些圣智之人生活在这个世界上，之所以成为芸芸众生先知先觉的导师，是因为他们能够通过观察阴阳二气的变化来对事物进行判断，给它们立一个确定的名号，并能够知道其生成、发展、灭亡的途径，洞察万物的变化发展过程，通晓世人的思维规律</w:t>
      </w:r>
      <w:r>
        <w:rPr>
          <w:rFonts w:eastAsia="宋体" w:ascii="宋体" w:hAnsi="宋体"/>
          <w:color w:val="7F7F7F"/>
          <w:sz w:val="15"/>
          <w:szCs w:val="15"/>
        </w:rPr>
        <w:t>,</w:t>
      </w:r>
      <w:r>
        <w:rPr>
          <w:rFonts w:ascii="宋体" w:hAnsi="宋体" w:eastAsia="宋体"/>
          <w:color w:val="7F7F7F"/>
          <w:sz w:val="15"/>
          <w:szCs w:val="15"/>
        </w:rPr>
        <w:t>观察世上事物、 人事发生变化的征兆</w:t>
      </w:r>
      <w:r>
        <w:rPr>
          <w:rFonts w:eastAsia="宋体" w:ascii="宋体" w:hAnsi="宋体"/>
          <w:color w:val="7F7F7F"/>
          <w:sz w:val="15"/>
          <w:szCs w:val="15"/>
        </w:rPr>
        <w:t>,</w:t>
      </w:r>
      <w:r>
        <w:rPr>
          <w:rFonts w:ascii="宋体" w:hAnsi="宋体" w:eastAsia="宋体"/>
          <w:color w:val="7F7F7F"/>
          <w:sz w:val="15"/>
          <w:szCs w:val="15"/>
        </w:rPr>
        <w:t>从而把握事物发展变化的关键。所以， 圣人在社会上立身处世，从古至今遵循的规律都是一样的。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尽管事物的变化是无穷无尽的，但都有自己的发展规律。有的归于阴，有的归于阳，有的柔弱，有的刚强，有的开放，有的封闭，有的松弛，有的紧张。所以</w:t>
      </w:r>
      <w:r>
        <w:rPr>
          <w:rFonts w:eastAsia="宋体" w:ascii="宋体" w:hAnsi="宋体"/>
          <w:color w:val="7F7F7F"/>
          <w:sz w:val="15"/>
          <w:szCs w:val="15"/>
        </w:rPr>
        <w:t>,</w:t>
      </w:r>
      <w:r>
        <w:rPr>
          <w:rFonts w:ascii="宋体" w:hAnsi="宋体" w:eastAsia="宋体"/>
          <w:color w:val="7F7F7F"/>
          <w:sz w:val="15"/>
          <w:szCs w:val="15"/>
        </w:rPr>
        <w:t>圣人要始终把握事物发展变化的关键，审查周围事物的发展过程，考察估量旁人的权谋和才能，比较技巧上谁优谁劣。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人的秉性是有差异的，有贤良与不贤能，有智慧与蠢笨，有勇敢和怯懦。根据每个人的秉性，可以起用，也可以闭藏不用；可以举荐，也可以废黜；可以轻视，也可以敬重，要顺应人们的不同秉性分别对待他们。想要看清一个人，就要考察他有没有真才实学，对人是真诚还是虚假，并顺应他的喜好来发现其真实想法。适当地驳斥他的言论，启发他说出真话后再加以反对，以便得到实情，了解到他的主旨；先 “阖”后“捭”，从而了解对方所说的善恶利害。</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或公开自己的真实情况显示给对方，或将自己的真实情况隐藏起来。公开自己的真实情况是为了博取对方的信任，将真实情况隐藏起来是为了考察对方的诚意。要想区分什么可行、什么不可行，就要审查清楚对方的计谋，洞察双方意见相同或不相同的根源。双方意见有差异时，要先纵容他，让他按照他自己的意志去办事，我方则适时而动。如果要采取积极行动，最重要的是考虑周详；如果要静止隐藏，最重要的是缜密处事。周详和慎密的可贵在于隐藏，隐藏的最佳效果就像“道”一样微而不显。</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对人使用捭阖之术，或是为了探测对方虚实真假，或是为了争取对方的真诚合作，所有这些都是为了使对方显露实情，权衡比较谋略的得失，然后再顺其所想为对方做出谋划。圣人也是按照这样的方法进行考虑的，如果是不合适的谋略，圣人也只能自行考虑谋划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阖之术时，或者使对方能够暴露真情实感，或者让他吐露决策被我们吸取；或抑制他以便于我们顺利起用他，或抑制他以便于抛弃他不用。捭阖之术，以与阴阳之道相符合为主旨。捭阖使阴阳二气发生变化，阴阳变动产生四季，使万物生长发育。纵和横</w:t>
      </w:r>
      <w:r>
        <w:rPr>
          <w:rFonts w:eastAsia="宋体" w:ascii="宋体" w:hAnsi="宋体"/>
          <w:color w:val="7F7F7F"/>
          <w:sz w:val="15"/>
          <w:szCs w:val="15"/>
        </w:rPr>
        <w:t>,</w:t>
      </w:r>
      <w:r>
        <w:rPr>
          <w:rFonts w:ascii="宋体" w:hAnsi="宋体" w:eastAsia="宋体"/>
          <w:color w:val="7F7F7F"/>
          <w:sz w:val="15"/>
          <w:szCs w:val="15"/>
        </w:rPr>
        <w:t>返和出，翻和覆，反与忤，都是事物阴阳的具体表现，都可以根据捭阖原则来区别、说明它们。</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变化，也是游说之词的变化。人们必须预先知道捭阖之术的阴阳变化法则，这是游说能否成功的关键所在。口是表达内心想法的门户，心则是人们精神的居所。人们的志向愿望、爱好欲望、思索考虑、智慧谋略，都是通过口这个门户来表达。所以，要用捭阖之术来控制讲话，控制言语的出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开口、让对方说话，这就是阳之道；所谓“阖之”，就是让对方闭口，让对方沉默，这就是阴之道。阴阳两个方面要调和，运用有节，结束和开始都要符合捭阖之术。所以说长生、安乐、富贵、尊荣、显名、嗜 好、财货、得意、情欲等都被归于“阳”类事物，称为“开 始”。而死亡、忧患、贫贱、羞辱、毁弃、损伤、失意、灾 害、刑戮、诛罚等都被归于“阴”类事物，称为“终止”。那些在言论时采用“阳”类事物来立说的，都可以称为“开始”，因为他们用这类美好的语言去说服对方从事某事，诱导对方采取行动，促使游说成功；那些在言论时采用“阴”类事物来立说的，都可以称为“终止”，他们用这类今人厌恶的语言和消极不利的因素去阻止对方谋略实施，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先要从阴阳两个方面来试探。与品行高尚的人讲话时，内容要崇高；跟品行卑劣的人讲话时，内容要卑下。下与小，均为阴，所以我们用卑下的阴言去打动小人；高与大，均为阳，所以我们用崇高的阳言去说服君子。根据这个方法去游说，就没有试探不出来的真实情感，就没有不听从我们决策的人，就没有不能说服的对象。用捭阖之术可以游说普通的个人，可以游说大夫，可以游说请侯国的国君，可以游说周天子。任何事情不管是小至极点，还是大至无穷，均不能局限于本身，要有辨证观点和全局眼光，事情的损害和补益、人的离去和接近、道的背离和归属等行为，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阳就是活动前进，阴就是静止隐藏，阳动必然显现，阴止必然潜藏。阳返还停止于阴，阴到了极点，就会转化为阳。凭借阳气活动的人</w:t>
      </w:r>
      <w:r>
        <w:rPr>
          <w:rFonts w:eastAsia="宋体" w:ascii="宋体" w:hAnsi="宋体"/>
          <w:color w:val="7F7F7F"/>
          <w:sz w:val="15"/>
          <w:szCs w:val="15"/>
        </w:rPr>
        <w:t>,</w:t>
      </w:r>
      <w:r>
        <w:rPr>
          <w:rFonts w:ascii="宋体" w:hAnsi="宋体" w:eastAsia="宋体"/>
          <w:color w:val="7F7F7F"/>
          <w:sz w:val="15"/>
          <w:szCs w:val="15"/>
        </w:rPr>
        <w:t>要靠道德来互相感化；凭借阴气隐藏的人，要用可以看见的行动互相帮助。从阳的方面去追求阴，要以道德包容对方；从阴的方面去接近阳，就要显现出来实际去做。 阴阳相辅相成，互为其用，集中体现在捭阖之术上。这就是天地自然界以及人世社会中的阴阳之道，这就是游说他人的根本原则。捭阖是万事万物的既定法则，因此被称作“天地万物运行的门户”。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 w:name="__RefHeading___Toc2310_1773610119"/>
      <w:bookmarkStart w:id="8" w:name="_Toc2372"/>
      <w:bookmarkStart w:id="9" w:name="_Toc859951715"/>
      <w:bookmarkStart w:id="10" w:name="_Toc30321429"/>
      <w:bookmarkStart w:id="11" w:name="_Toc30321383"/>
      <w:bookmarkStart w:id="12" w:name="_Toc47593227"/>
      <w:bookmarkStart w:id="13" w:name="_Toc153345582"/>
      <w:bookmarkEnd w:id="7"/>
      <w:r>
        <w:rPr>
          <w:rFonts w:ascii="宋体" w:hAnsi="宋体" w:eastAsia="宋体"/>
          <w:b w:val="false"/>
          <w:bCs w:val="false"/>
          <w:color w:val="000000"/>
        </w:rPr>
        <w:t>反应</w:t>
      </w:r>
      <w:bookmarkEnd w:id="8"/>
      <w:bookmarkEnd w:id="9"/>
      <w:bookmarkEnd w:id="10"/>
      <w:bookmarkEnd w:id="11"/>
      <w:bookmarkEnd w:id="12"/>
      <w:bookmarkEnd w:id="13"/>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在古代能够化育万物的圣人，都是与无形而又无处不在的大道共同生存的。圣人处事都是从事物正反两个方面反复思考的：回顾历史，展望未来</w:t>
      </w:r>
      <w:r>
        <w:rPr>
          <w:rFonts w:eastAsia="宋体" w:ascii="宋体" w:hAnsi="宋体"/>
          <w:color w:val="7F7F7F"/>
          <w:sz w:val="15"/>
          <w:szCs w:val="15"/>
        </w:rPr>
        <w:t>;</w:t>
      </w:r>
      <w:r>
        <w:rPr>
          <w:rFonts w:ascii="宋体" w:hAnsi="宋体" w:eastAsia="宋体"/>
          <w:color w:val="7F7F7F"/>
          <w:sz w:val="15"/>
          <w:szCs w:val="15"/>
        </w:rPr>
        <w:t>反观过去，检验现在；反复察看以洞察对方，再回首以认识自我。动、静、虚、实的运动原理，如果与今天不相符合，我们可以回顾历史去寻找古人的经验。任何事物都需要反复比证考察才能彻底了解，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别人侃侃而谈的时候，是动态；自己沉默倾听的时候，是静态。根据对方的言论</w:t>
      </w:r>
      <w:r>
        <w:rPr>
          <w:rFonts w:eastAsia="宋体" w:ascii="宋体" w:hAnsi="宋体"/>
          <w:color w:val="7F7F7F"/>
          <w:sz w:val="15"/>
          <w:szCs w:val="15"/>
        </w:rPr>
        <w:t>,</w:t>
      </w:r>
      <w:r>
        <w:rPr>
          <w:rFonts w:ascii="宋体" w:hAnsi="宋体" w:eastAsia="宋体"/>
          <w:color w:val="7F7F7F"/>
          <w:sz w:val="15"/>
          <w:szCs w:val="15"/>
        </w:rPr>
        <w:t>听出他话语中透露出的真实想法。如果发现对方言辞中有前后矛盾或不合情理的地方，就要反复地追问他，从而迫使他在应声回答时再度思量，露出真情。语言有可以模拟的形态，事物有可以类比的规范。通过 “象”和“比”的手法来探求言辞背后所隐藏的真实意图。所 谓“象”，就是用形象化的手法来比喻事物，所谓“比”，就是以同类的言辞进行类比。我们就这样用静默去探求别人言辞中的隐含意图，就好像用饵钓鱼一样，用静默和反诘去 “钓”别人的言辞，通过“钓”得的言辞去判断他的决策，以 掌握对方的真实想法。这又像张开网捕野兽一样，多设一些网，聚集在一起等待野兽自投罗网。如果把捕兽的方法用在 人事上，一旦方法得当，符合情理，对方必然会自己吐露实情，这就是“钓”人的网，应常用这样的“钓”人方法去掌握别人，使其为已所用。</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如果对方不接我们的话语，不回答我们的反问，就要改变讨论的方式。用“象”的手法来使对方开口，即迎合他的心意，使他透露真情，进而控制对方。自己在和对方经过这样多次反复之后，就可以知道对方的底细，因此就能确定说服对方的基本策略和基本观点。这样反复探究，任何事情都可以从对方言辞中得知。圣人用这种方法诱导、感化愚者或智者，任何真情都可以测得而毫无疑惑。古代善于这样探查对方的人，通常能够用鬼神莫测的手段来获得实情。他们随机应变得当，能详尽地考察对方。如果不能详尽考察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地用模仿和类比，不断使自己言中透出的“象”“比”信息得到改变，这样对方一定有“反应”的言，这时自己再反过来听。我们要听对方讲话，自己要先用沉默来引他；想让对方张，自己要先收敛；想让对方升高，自己要先下降；想从对方那里有所获取，自己就要先给予对方好处。要想了解对方的内情，就要善于运用模仿和类比的方法，把握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bCs/>
          <w:color w:val="000000"/>
        </w:rPr>
        <w:t>因</w:t>
      </w:r>
      <w:r>
        <w:rPr>
          <w:rFonts w:ascii="宋体" w:hAnsi="宋体" w:eastAsia="宋体"/>
          <w:color w:val="7F7F7F"/>
          <w:sz w:val="15"/>
          <w:szCs w:val="15"/>
        </w:rPr>
        <w:t>（引入动作行为的依据；根据；凭借）</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反听的方法，或者用在这里，或者用在那里，或者用来侍奉君主，或者用来管理下属。这就要分辨真伪，了解异同，从而分辨对手的真实情报或诡诈之术。对方的动作、言语、 口气</w:t>
      </w:r>
      <w:r>
        <w:rPr>
          <w:rFonts w:eastAsia="宋体" w:ascii="宋体" w:hAnsi="宋体"/>
          <w:color w:val="7F7F7F"/>
          <w:sz w:val="15"/>
          <w:szCs w:val="15"/>
        </w:rPr>
        <w:t>,</w:t>
      </w:r>
      <w:r>
        <w:rPr>
          <w:rFonts w:ascii="宋体" w:hAnsi="宋体" w:eastAsia="宋体"/>
          <w:color w:val="7F7F7F"/>
          <w:sz w:val="15"/>
          <w:szCs w:val="15"/>
        </w:rPr>
        <w:t>都可以用这种方法去考察；对方的一喜一怒，都可以用这种方法窥其端倪。所有这些，都要以自己先做好准备作 为法则。用“反”来求得对方的回应，然后去观察对方言辞中所寄托的真实情感，所以用这种方法。自己要心平气和，以便能听取对方的言辞，考察事理，论说万物，辨别事物性质。即使是从对方言辞里无关紧要的事件中，也可以探知其中隐含的真情实意。运用这些方法去探测别人就好像钻到他 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所以要了解外界的人或事物，要从了解自己开始，只有了解自己之后，才能了解别人。如果能做到这点，我们想要了解别人时，就会像比目鱼相并而行那样一丝不差。对方一 现形，就像光一样显露出来，我们就像影子一样，立刻就能捕捉到对方的真实意图。我们做到了自知，再侦察对方的言辞，就会不失毫厘地掌握到他的真实意图，就像用磁石取针，用舌头来获取焦骨上的肉一样万无一失。自己暴露给对方的微乎其微，而侦察对方的实情却又多又快。这种探查人的方法，就像阴与阳无处不在那样，无事、无人不可用，又像画圆画方要有规和矩那样有一定的规则。即当对方形迹未显时， 我们要用圆通灵活的手法去引导他；当对方形迹已显时，我们就要按照设定好的谋略去应对他。无论是向前还是向后，无论是向左还是向右，都可以用这种规则去掌握。如果自己不事先确定策略，就不能正确地支配他人。做事没有技巧，就会忘记得到情报的规律。自己首先要认真确定策略，再以此来统领众人，实施策略不要暴露意图，让对方摸不透、抓 不着我们的门路，我们就能像天神那样达到难测难知的至高境界。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4" w:name="__RefHeading___Toc2312_1773610119"/>
      <w:bookmarkStart w:id="15" w:name="_Toc11519"/>
      <w:bookmarkStart w:id="16" w:name="_Toc30321430"/>
      <w:bookmarkStart w:id="17" w:name="_Toc47593228"/>
      <w:bookmarkStart w:id="18" w:name="_Toc1644679059"/>
      <w:bookmarkStart w:id="19" w:name="_Toc153345583"/>
      <w:bookmarkStart w:id="20" w:name="_Toc30321384"/>
      <w:bookmarkEnd w:id="14"/>
      <w:r>
        <w:rPr>
          <w:rFonts w:ascii="宋体" w:hAnsi="宋体" w:eastAsia="宋体"/>
          <w:b w:val="false"/>
          <w:bCs w:val="false"/>
          <w:color w:val="000000"/>
        </w:rPr>
        <w:t>内揵</w:t>
      </w:r>
      <w:bookmarkEnd w:id="15"/>
      <w:bookmarkEnd w:id="16"/>
      <w:bookmarkEnd w:id="17"/>
      <w:bookmarkEnd w:id="18"/>
      <w:bookmarkEnd w:id="19"/>
      <w:bookmarkEnd w:id="20"/>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君主遥闻其名，便被君主日夜思念。这些都是由于君臣之间内心相知的程度不同所致，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 “内” 就是进献说辞以取得君主的宠信；所谓 “揵” 就是进献计谋来取得君主的宠信。想要说服君主，务必先悄悄地揣测君主的心意；进献计谋的时候，务必顺从君主的意，暗中分析我们的计谋是否符合时宜，向君主公开言明计谋的优劣得头，以此来迎合君主的心意。进献计谋决策必须选择当的时机，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凡是言辞或计谋中有不符合君主心意的部分，就难以付诸实践。这时就要重新揣摩形势，从有利于君主实施出发，改变策略。以灵活变通的方式来结交君主。做到这点，就像用钥匙开锁那样，极易打开君主的心锁。游说时，凡是谈论过去的事情，要采用顺畅的言辞；凡是谈论未来的事情，要采用变通的言辞。运用自如地改变决策的人，要详细了解地理形势，精通天文四时的变化，只有这样才能驾驭鬼神，契合于阴阳变化的规律，从而掌控天下百姓。要了解君主谋划的事情，才能知晓君主的意图。所办的事情凡有不合君主之意的，那是因为君主的某种心意、某些情况我们还没有掌握；表面上我们的计谋得到了同意但实际上并没有得到施行，那是因为君主与我们的关系表面上看起来亲密，实际上却很疏远。与君主的意见不吻合的事情，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所以，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 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在进行游说时，要顺合道德、仁义、礼乐、忠信、计谋的种种规范。对于君主的决策，我们要从《诗经》和《尚书》中征引语句，再综合分析利弊得失，同时在内心衡量一下此决策与自己决策的差距大小，最后再决定就任还是离职。如果决定留下辅助君主，就要与君主思想相吻合；如果想要离去，就不要争取君主的宠信。处理内外大事都必须明晓取宠术和制君术。这样才能揣测计划未来的事情，遇到疑难之事才可以迅速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能够帮助君主整顿朝纲、治理民众，这叫作从内部与君主结交。如果上层昏庸不理国家政务，下层作乱而国君不能够察觉，我们就要考虑返回，不要再替他谋划决策。如果碰到那种自视甚高、刚愎自用而听不进外人意见的暴君，我们不妨先逢迎他，博取其欢心后再逐步说动他。如果有君主来召己，就先迎合他的心意再设法逐步掌握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1" w:name="__RefHeading___Toc2314_1773610119"/>
      <w:bookmarkStart w:id="22" w:name="_Toc13255"/>
      <w:bookmarkStart w:id="23" w:name="_Toc47593229"/>
      <w:bookmarkStart w:id="24" w:name="_Toc30321385"/>
      <w:bookmarkStart w:id="25" w:name="_Toc30321431"/>
      <w:bookmarkStart w:id="26" w:name="_Toc153345584"/>
      <w:bookmarkStart w:id="27" w:name="_Toc1557920471"/>
      <w:bookmarkEnd w:id="21"/>
      <w:r>
        <w:rPr>
          <w:rFonts w:ascii="宋体" w:hAnsi="宋体" w:eastAsia="宋体"/>
          <w:b w:val="false"/>
          <w:bCs w:val="false"/>
          <w:color w:val="000000"/>
        </w:rPr>
        <w:t>抵巇</w:t>
      </w:r>
      <w:bookmarkEnd w:id="22"/>
      <w:bookmarkEnd w:id="23"/>
      <w:bookmarkEnd w:id="24"/>
      <w:bookmarkEnd w:id="25"/>
      <w:bookmarkEnd w:id="26"/>
      <w:bookmarkEnd w:id="27"/>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死道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并暗中思量琢磨，制定各种策略来找到产生微隙的原因。事情初起时如秋毫之末那样微小，发展起来就可以产生撼动泰山根基的效果。所以把德政向外推行时，一定要运用抵巇之术，在罅隙尚处于萌芽状态时发现，并采用抵巇之术来弥补。抵巇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都纷乱动荡的时候，朝廷没有贤明的君主，公侯没有道德。小人就会谗害圣贤，贤能之人也不会被任用。圣人逃匿躲藏起来，贪赃枉法者兴风作浪，君臣之间互相猜疑，国家纲纪土崩瓦解，以致各种势力互相攻战杀伐，父子离散不合，彼此反目成仇。这些就叫作 “轻微的裂痕” 。当圣人看到轻微的裂痕时，就会采取相应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裂隙总是相伴相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如果能够顺应自然规律来运用，就能够掌握天地间一切自然规律的变化。</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8" w:name="__RefHeading___Toc2316_1773610119"/>
      <w:bookmarkStart w:id="29" w:name="_Toc23349"/>
      <w:bookmarkStart w:id="30" w:name="_Toc47593230"/>
      <w:bookmarkStart w:id="31" w:name="_Toc153345585"/>
      <w:bookmarkStart w:id="32" w:name="_Toc264642135"/>
      <w:bookmarkStart w:id="33" w:name="_Toc30321432"/>
      <w:bookmarkStart w:id="34" w:name="_Toc30321386"/>
      <w:bookmarkEnd w:id="28"/>
      <w:r>
        <w:rPr>
          <w:rFonts w:ascii="宋体" w:hAnsi="宋体" w:eastAsia="宋体"/>
          <w:b w:val="false"/>
          <w:bCs w:val="false"/>
          <w:color w:val="000000"/>
        </w:rPr>
        <w:t>飞箝</w:t>
      </w:r>
      <w:bookmarkEnd w:id="29"/>
      <w:bookmarkEnd w:id="30"/>
      <w:bookmarkEnd w:id="31"/>
      <w:bookmarkEnd w:id="32"/>
      <w:bookmarkEnd w:id="33"/>
      <w:bookmarkEnd w:id="34"/>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分辨出对方言语中表面和背后的含义，判断对方是否具有高超的权谋韬略，能够制定图谋大事的计谋，从而确立君臣间应有的亲疏关系。然后在实践中加以检验衡量，对于那些可以匡正补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与人谈话时，首先把赞扬的话语传达给他，通过恭维来钳制他们。以钩钳之词进行游说，在交谈之时要忽而表示认同，忽而表示反对，以便了解对方的真实意图。对于那些以钩钳之术仍没法控制的对手，可以先不断提高他的名誉，使其名不副实，为日后诋毁他做充足的准备，一次不行就多次实施，直到毁掉对方为止。有时候赞扬对方优点使其缺点暴露是诋毁，有时历数其缺点使他优点显露也是为了最终诋毁他。想要重用某些人时，或者先赏赐财物、珠宝、玉石、白璧和美女，以便对他们进行试探；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钳之术运用到天下大势政治斗争中，在游说君主时，一定要揣度君主的权谋与能力，观察国家命运的发展趋势，知悉该国地形的宽窄和山川险要之处的攻守难易，掌握该国人口、财富的多少，了解其与哪个诸侯国亲密友爱，与哪个诸侯国疏远仇恨，还要了解君主心中的打算。摸准了君主的心意，了解了他喜欢什么，讨厌什么，然后针对君主最重视的事进行游说，再用 “飞” 的方法诱出对方的爱好所在，最后用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飞钳之术和别人打交道，就要揣摩对方的智慧，权衡对方的才干，度量对方的气势，把对对方的充分了解作为与之相处的关键。去迎合他、追随他，用飞钳之术调和他与我们的差距，使双方相互适应、协调，再用我们的意图去开导、启发他，这就是用飞钳来联结。对人使用飞钳之术时，要先用赞扬、称颂手段去赞誉对方，使对方说出真情，收到实效，然后紧紧与之联结，研究他话语中的真意。做到这些，就可以钳制对方，使他向纵的方向，使他向横的方向；使他向东，使他向西；使他向南，使他向北；使他从起点返回，或者使他返回后再翻过来。反反复复去做，但不失去一定的准则。</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5" w:name="__RefHeading___Toc2318_1773610119"/>
      <w:bookmarkStart w:id="36" w:name="_Toc15496"/>
      <w:bookmarkStart w:id="37" w:name="_Toc1452349820"/>
      <w:bookmarkStart w:id="38" w:name="_Toc47593231"/>
      <w:bookmarkStart w:id="39" w:name="_Toc153345586"/>
      <w:bookmarkStart w:id="40" w:name="_Toc30321433"/>
      <w:bookmarkStart w:id="41" w:name="_Toc30321387"/>
      <w:bookmarkEnd w:id="35"/>
      <w:r>
        <w:rPr>
          <w:rFonts w:ascii="宋体" w:hAnsi="宋体" w:eastAsia="宋体"/>
          <w:b w:val="false"/>
          <w:bCs w:val="false"/>
          <w:color w:val="000000"/>
        </w:rPr>
        <w:t>忤合</w:t>
      </w:r>
      <w:bookmarkEnd w:id="36"/>
      <w:bookmarkEnd w:id="37"/>
      <w:bookmarkEnd w:id="38"/>
      <w:bookmarkEnd w:id="39"/>
      <w:bookmarkEnd w:id="40"/>
      <w:bookmarkEnd w:id="41"/>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2" w:name="__RefHeading___Toc2320_1773610119"/>
      <w:bookmarkStart w:id="43" w:name="_Toc12517"/>
      <w:bookmarkStart w:id="44" w:name="_Toc30321388"/>
      <w:bookmarkStart w:id="45" w:name="_Toc1401013603"/>
      <w:bookmarkStart w:id="46" w:name="_Toc153345587"/>
      <w:bookmarkStart w:id="47" w:name="_Toc47593232"/>
      <w:bookmarkStart w:id="48" w:name="_Toc30321434"/>
      <w:bookmarkEnd w:id="42"/>
      <w:r>
        <w:rPr>
          <w:rFonts w:ascii="宋体" w:hAnsi="宋体" w:eastAsia="宋体"/>
          <w:b w:val="false"/>
          <w:bCs w:val="false"/>
          <w:color w:val="000000"/>
        </w:rPr>
        <w:t>揣篇</w:t>
      </w:r>
      <w:bookmarkEnd w:id="43"/>
      <w:bookmarkEnd w:id="44"/>
      <w:bookmarkEnd w:id="45"/>
      <w:bookmarkEnd w:id="46"/>
      <w:bookmarkEnd w:id="47"/>
      <w:bookmarkEnd w:id="48"/>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9" w:name="__RefHeading___Toc2322_1773610119"/>
      <w:bookmarkStart w:id="50" w:name="_Toc27965"/>
      <w:bookmarkStart w:id="51" w:name="_Toc710633081"/>
      <w:bookmarkStart w:id="52" w:name="_Toc47593233"/>
      <w:bookmarkStart w:id="53" w:name="_Toc30321435"/>
      <w:bookmarkStart w:id="54" w:name="_Toc153345588"/>
      <w:bookmarkStart w:id="55" w:name="_Toc30321389"/>
      <w:bookmarkEnd w:id="49"/>
      <w:r>
        <w:rPr>
          <w:rFonts w:ascii="宋体" w:hAnsi="宋体" w:eastAsia="宋体"/>
          <w:b w:val="false"/>
          <w:bCs w:val="false"/>
          <w:color w:val="000000"/>
        </w:rPr>
        <w:t>摩篇</w:t>
      </w:r>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4_1773610119"/>
      <w:bookmarkStart w:id="57" w:name="_Toc1178"/>
      <w:bookmarkStart w:id="58" w:name="_Toc47593234"/>
      <w:bookmarkStart w:id="59" w:name="_Toc585797414"/>
      <w:bookmarkStart w:id="60" w:name="_Toc30321390"/>
      <w:bookmarkStart w:id="61" w:name="_Toc153345589"/>
      <w:bookmarkStart w:id="62" w:name="_Toc30321436"/>
      <w:bookmarkEnd w:id="56"/>
      <w:r>
        <w:rPr>
          <w:rFonts w:ascii="宋体" w:hAnsi="宋体" w:eastAsia="宋体"/>
          <w:b w:val="false"/>
          <w:bCs w:val="false"/>
          <w:color w:val="000000"/>
        </w:rPr>
        <w:t>权篇</w:t>
      </w:r>
      <w:bookmarkEnd w:id="57"/>
      <w:bookmarkEnd w:id="58"/>
      <w:bookmarkEnd w:id="59"/>
      <w:bookmarkEnd w:id="60"/>
      <w:bookmarkEnd w:id="61"/>
      <w:bookmarkEnd w:id="62"/>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3" w:name="__RefHeading___Toc2326_1773610119"/>
      <w:bookmarkStart w:id="64" w:name="_Toc20293"/>
      <w:bookmarkStart w:id="65" w:name="_Toc47593235"/>
      <w:bookmarkStart w:id="66" w:name="_Toc1911504720"/>
      <w:bookmarkStart w:id="67" w:name="_Toc153345590"/>
      <w:bookmarkStart w:id="68" w:name="_Toc30321437"/>
      <w:bookmarkStart w:id="69" w:name="_Toc30321391"/>
      <w:bookmarkEnd w:id="63"/>
      <w:r>
        <w:rPr>
          <w:rFonts w:ascii="宋体" w:hAnsi="宋体" w:eastAsia="宋体"/>
          <w:b w:val="false"/>
          <w:bCs w:val="false"/>
          <w:color w:val="000000"/>
        </w:rPr>
        <w:t>谋篇</w:t>
      </w:r>
      <w:bookmarkEnd w:id="64"/>
      <w:bookmarkEnd w:id="65"/>
      <w:bookmarkEnd w:id="66"/>
      <w:bookmarkEnd w:id="67"/>
      <w:bookmarkEnd w:id="68"/>
      <w:bookmarkEnd w:id="6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color w:val="7F7F7F"/>
          <w:sz w:val="15"/>
          <w:szCs w:val="15"/>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w:t>
      </w:r>
      <w:bookmarkStart w:id="70" w:name="_GoBack"/>
      <w:bookmarkEnd w:id="70"/>
      <w:r>
        <w:rPr>
          <w:rFonts w:ascii="宋体" w:hAnsi="宋体" w:eastAsia="宋体"/>
          <w:color w:val="000000"/>
        </w:rPr>
        <w:t>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1" w:name="__RefHeading___Toc2328_1773610119"/>
      <w:bookmarkStart w:id="72" w:name="_Toc6958"/>
      <w:bookmarkStart w:id="73" w:name="_Toc30321438"/>
      <w:bookmarkStart w:id="74" w:name="_Toc47593236"/>
      <w:bookmarkStart w:id="75" w:name="_Toc30321392"/>
      <w:bookmarkStart w:id="76" w:name="_Toc153345591"/>
      <w:bookmarkStart w:id="77" w:name="_Toc662898066"/>
      <w:bookmarkEnd w:id="71"/>
      <w:r>
        <w:rPr>
          <w:rFonts w:ascii="宋体" w:hAnsi="宋体" w:eastAsia="宋体"/>
          <w:b w:val="false"/>
          <w:bCs w:val="false"/>
          <w:color w:val="000000"/>
        </w:rPr>
        <w:t>决篇</w:t>
      </w:r>
      <w:bookmarkEnd w:id="72"/>
      <w:bookmarkEnd w:id="73"/>
      <w:bookmarkEnd w:id="74"/>
      <w:bookmarkEnd w:id="75"/>
      <w:bookmarkEnd w:id="76"/>
      <w:bookmarkEnd w:id="77"/>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8" w:name="__RefHeading___Toc2330_1773610119"/>
      <w:bookmarkStart w:id="79" w:name="_Toc22821"/>
      <w:bookmarkStart w:id="80" w:name="_Toc30321439"/>
      <w:bookmarkStart w:id="81" w:name="_Toc153345592"/>
      <w:bookmarkStart w:id="82" w:name="_Toc47593237"/>
      <w:bookmarkStart w:id="83" w:name="_Toc1459315182"/>
      <w:bookmarkStart w:id="84" w:name="_Toc30321393"/>
      <w:bookmarkEnd w:id="78"/>
      <w:r>
        <w:rPr>
          <w:rFonts w:ascii="宋体" w:hAnsi="宋体" w:eastAsia="宋体"/>
          <w:b w:val="false"/>
          <w:bCs w:val="false"/>
          <w:color w:val="000000"/>
        </w:rPr>
        <w:t>符言</w:t>
      </w:r>
      <w:bookmarkEnd w:id="79"/>
      <w:bookmarkEnd w:id="80"/>
      <w:bookmarkEnd w:id="81"/>
      <w:bookmarkEnd w:id="82"/>
      <w:bookmarkEnd w:id="83"/>
      <w:bookmarkEnd w:id="84"/>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85" w:name="_GoBack_副本_1"/>
      <w:bookmarkStart w:id="86" w:name="_GoBack_副本_1"/>
      <w:bookmarkEnd w:id="86"/>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87" w:name="__RefHeading___Toc2332_1773610119"/>
      <w:bookmarkStart w:id="88" w:name="_Toc2528"/>
      <w:bookmarkStart w:id="89" w:name="_Toc1194849932"/>
      <w:bookmarkStart w:id="90" w:name="_Toc153345593"/>
      <w:bookmarkStart w:id="91" w:name="_Toc47593238"/>
      <w:bookmarkStart w:id="92" w:name="_Toc30321440"/>
      <w:bookmarkStart w:id="93" w:name="_Toc30321394"/>
      <w:bookmarkEnd w:id="87"/>
      <w:r>
        <w:rPr>
          <w:rFonts w:ascii="宋体" w:hAnsi="宋体" w:eastAsia="宋体"/>
          <w:b w:val="false"/>
          <w:bCs w:val="false"/>
          <w:color w:val="000000"/>
        </w:rPr>
        <w:t>转丸</w:t>
      </w:r>
      <w:bookmarkEnd w:id="88"/>
      <w:bookmarkEnd w:id="89"/>
      <w:bookmarkEnd w:id="90"/>
      <w:bookmarkEnd w:id="91"/>
      <w:bookmarkEnd w:id="92"/>
      <w:bookmarkEnd w:id="93"/>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94" w:name="_Hlk180865361"/>
      <w:r>
        <w:rPr>
          <w:rFonts w:ascii="宋体" w:hAnsi="宋体" w:eastAsia="宋体"/>
        </w:rPr>
        <w:t>戳</w:t>
      </w:r>
      <w:bookmarkEnd w:id="94"/>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95" w:name="__RefHeading___Toc2334_1773610119"/>
      <w:bookmarkStart w:id="96" w:name="_Toc2240"/>
      <w:bookmarkStart w:id="97" w:name="_Toc1178546249"/>
      <w:bookmarkStart w:id="98" w:name="_Toc30321395"/>
      <w:bookmarkStart w:id="99" w:name="_Toc153345594"/>
      <w:bookmarkStart w:id="100" w:name="_Toc30321441"/>
      <w:bookmarkStart w:id="101" w:name="_Toc47593239"/>
      <w:bookmarkEnd w:id="95"/>
      <w:r>
        <w:rPr>
          <w:rFonts w:ascii="宋体" w:hAnsi="宋体" w:eastAsia="宋体"/>
          <w:b w:val="false"/>
          <w:bCs w:val="false"/>
          <w:color w:val="000000"/>
        </w:rPr>
        <w:t>却乱</w:t>
      </w:r>
      <w:bookmarkEnd w:id="96"/>
      <w:bookmarkEnd w:id="97"/>
      <w:bookmarkEnd w:id="98"/>
      <w:bookmarkEnd w:id="99"/>
      <w:bookmarkEnd w:id="100"/>
      <w:bookmarkEnd w:id="101"/>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02" w:name="__RefHeading___Toc2336_1773610119"/>
      <w:bookmarkStart w:id="103" w:name="_Toc9755"/>
      <w:bookmarkStart w:id="104" w:name="_Toc715452631"/>
      <w:bookmarkStart w:id="105" w:name="_Toc30321396"/>
      <w:bookmarkStart w:id="106" w:name="_Toc30321442"/>
      <w:bookmarkStart w:id="107" w:name="_Toc153345597"/>
      <w:bookmarkStart w:id="108" w:name="_Toc47593242"/>
      <w:bookmarkEnd w:id="102"/>
      <w:r>
        <w:rPr>
          <w:rFonts w:ascii="宋体" w:hAnsi="宋体" w:eastAsia="宋体"/>
          <w:b w:val="false"/>
          <w:bCs w:val="false"/>
          <w:color w:val="000000"/>
        </w:rPr>
        <w:t>盛神法五龙</w:t>
      </w:r>
      <w:bookmarkEnd w:id="103"/>
      <w:bookmarkEnd w:id="104"/>
      <w:bookmarkEnd w:id="105"/>
      <w:bookmarkEnd w:id="106"/>
      <w:bookmarkEnd w:id="107"/>
      <w:bookmarkEnd w:id="108"/>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09" w:name="_GoBack_Copy_1_Copy_1"/>
      <w:bookmarkEnd w:id="109"/>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0" w:name="__RefHeading___Toc2338_1773610119"/>
      <w:bookmarkStart w:id="111" w:name="_Toc22664"/>
      <w:bookmarkStart w:id="112" w:name="_Toc192592109"/>
      <w:bookmarkStart w:id="113" w:name="_Toc153345598"/>
      <w:bookmarkStart w:id="114" w:name="_Toc30321443"/>
      <w:bookmarkStart w:id="115" w:name="_Toc47593243"/>
      <w:bookmarkStart w:id="116" w:name="_Toc30321397"/>
      <w:bookmarkEnd w:id="110"/>
      <w:r>
        <w:rPr>
          <w:rFonts w:ascii="宋体" w:hAnsi="宋体" w:eastAsia="宋体"/>
          <w:b w:val="false"/>
          <w:bCs w:val="false"/>
          <w:color w:val="000000"/>
        </w:rPr>
        <w:t>养志法灵龟</w:t>
      </w:r>
      <w:bookmarkEnd w:id="111"/>
      <w:bookmarkEnd w:id="112"/>
      <w:bookmarkEnd w:id="113"/>
      <w:bookmarkEnd w:id="114"/>
      <w:bookmarkEnd w:id="115"/>
      <w:bookmarkEnd w:id="116"/>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17" w:name="__RefHeading___Toc2340_1773610119"/>
      <w:bookmarkStart w:id="118" w:name="_Toc22646"/>
      <w:bookmarkStart w:id="119" w:name="_Toc30321444"/>
      <w:bookmarkStart w:id="120" w:name="_Toc47593244"/>
      <w:bookmarkStart w:id="121" w:name="_Toc2022631712"/>
      <w:bookmarkStart w:id="122" w:name="_Toc30321398"/>
      <w:bookmarkStart w:id="123" w:name="_Toc153345599"/>
      <w:bookmarkEnd w:id="117"/>
      <w:r>
        <w:rPr>
          <w:rFonts w:ascii="宋体" w:hAnsi="宋体" w:eastAsia="宋体"/>
          <w:b w:val="false"/>
          <w:bCs w:val="false"/>
          <w:color w:val="000000"/>
        </w:rPr>
        <w:t>实意法螣蛇</w:t>
      </w:r>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24" w:name="__RefHeading___Toc2342_1773610119"/>
      <w:bookmarkStart w:id="125" w:name="_Toc12026"/>
      <w:bookmarkStart w:id="126" w:name="_Toc30321445"/>
      <w:bookmarkStart w:id="127" w:name="_Toc153345600"/>
      <w:bookmarkStart w:id="128" w:name="_Toc30321399"/>
      <w:bookmarkStart w:id="129" w:name="_Toc47593245"/>
      <w:bookmarkStart w:id="130" w:name="_Toc1490294709"/>
      <w:bookmarkEnd w:id="124"/>
      <w:r>
        <w:rPr>
          <w:rFonts w:ascii="宋体" w:hAnsi="宋体" w:eastAsia="宋体"/>
          <w:b w:val="false"/>
          <w:bCs w:val="false"/>
          <w:color w:val="000000"/>
        </w:rPr>
        <w:t>分威法伏熊</w:t>
      </w:r>
      <w:bookmarkEnd w:id="125"/>
      <w:bookmarkEnd w:id="126"/>
      <w:bookmarkEnd w:id="127"/>
      <w:bookmarkEnd w:id="128"/>
      <w:bookmarkEnd w:id="129"/>
      <w:bookmarkEnd w:id="130"/>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1" w:name="__RefHeading___Toc2344_1773610119"/>
      <w:bookmarkStart w:id="132" w:name="_Toc5302"/>
      <w:bookmarkStart w:id="133" w:name="_Toc1172803545"/>
      <w:bookmarkStart w:id="134" w:name="_Toc153345601"/>
      <w:bookmarkStart w:id="135" w:name="_Toc30321446"/>
      <w:bookmarkStart w:id="136" w:name="_Toc30321400"/>
      <w:bookmarkStart w:id="137" w:name="_Toc47593246"/>
      <w:bookmarkEnd w:id="131"/>
      <w:r>
        <w:rPr>
          <w:rFonts w:ascii="宋体" w:hAnsi="宋体" w:eastAsia="宋体"/>
          <w:b w:val="false"/>
          <w:bCs w:val="false"/>
          <w:color w:val="000000"/>
        </w:rPr>
        <w:t>散势法鸷鸟</w:t>
      </w:r>
      <w:bookmarkEnd w:id="132"/>
      <w:bookmarkEnd w:id="133"/>
      <w:bookmarkEnd w:id="134"/>
      <w:bookmarkEnd w:id="135"/>
      <w:bookmarkEnd w:id="136"/>
      <w:bookmarkEnd w:id="137"/>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8" w:name="__RefHeading___Toc2346_1773610119"/>
      <w:bookmarkStart w:id="139" w:name="_Toc8986"/>
      <w:bookmarkStart w:id="140" w:name="_Toc153345602"/>
      <w:bookmarkStart w:id="141" w:name="_Toc1880000984"/>
      <w:bookmarkStart w:id="142" w:name="_Toc30321401"/>
      <w:bookmarkStart w:id="143" w:name="_Toc30321447"/>
      <w:bookmarkStart w:id="144" w:name="_Toc47593247"/>
      <w:bookmarkEnd w:id="138"/>
      <w:r>
        <w:rPr>
          <w:rFonts w:ascii="宋体" w:hAnsi="宋体" w:eastAsia="宋体"/>
          <w:b w:val="false"/>
          <w:bCs w:val="false"/>
          <w:color w:val="000000"/>
        </w:rPr>
        <w:t>转圆法猛兽</w:t>
      </w:r>
      <w:bookmarkEnd w:id="139"/>
      <w:bookmarkEnd w:id="140"/>
      <w:bookmarkEnd w:id="141"/>
      <w:bookmarkEnd w:id="142"/>
      <w:bookmarkEnd w:id="143"/>
      <w:bookmarkEnd w:id="14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5" w:name="__RefHeading___Toc2348_1773610119"/>
      <w:bookmarkStart w:id="146" w:name="_Toc1750"/>
      <w:bookmarkStart w:id="147" w:name="_Toc30321402"/>
      <w:bookmarkStart w:id="148" w:name="_Toc958547277"/>
      <w:bookmarkStart w:id="149" w:name="_Toc47593248"/>
      <w:bookmarkStart w:id="150" w:name="_Toc153345603"/>
      <w:bookmarkStart w:id="151" w:name="_Toc30321448"/>
      <w:bookmarkEnd w:id="145"/>
      <w:r>
        <w:rPr>
          <w:rFonts w:ascii="宋体" w:hAnsi="宋体" w:eastAsia="宋体"/>
          <w:b w:val="false"/>
          <w:bCs w:val="false"/>
          <w:color w:val="000000"/>
        </w:rPr>
        <w:t>损兑法灵蓍</w:t>
      </w:r>
      <w:bookmarkEnd w:id="146"/>
      <w:bookmarkEnd w:id="147"/>
      <w:bookmarkEnd w:id="148"/>
      <w:bookmarkEnd w:id="149"/>
      <w:bookmarkEnd w:id="150"/>
      <w:bookmarkEnd w:id="151"/>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52" w:name="__RefHeading___Toc1620_2803666824_副本_1"/>
      <w:bookmarkStart w:id="153" w:name="_Toc1495"/>
      <w:bookmarkStart w:id="154" w:name="_Toc30321403"/>
      <w:bookmarkStart w:id="155" w:name="_Toc47593240_副本_1"/>
      <w:bookmarkStart w:id="156" w:name="_Toc153345595_副本_1"/>
      <w:bookmarkStart w:id="157" w:name="_Toc1406991709"/>
      <w:bookmarkStart w:id="158" w:name="_Toc30321449"/>
      <w:bookmarkEnd w:id="152"/>
      <w:r>
        <w:rPr>
          <w:rFonts w:ascii="宋体" w:hAnsi="宋体" w:eastAsia="宋体"/>
          <w:b w:val="false"/>
          <w:bCs w:val="false"/>
          <w:color w:val="000000"/>
        </w:rPr>
        <w:t>持枢</w:t>
      </w:r>
      <w:bookmarkEnd w:id="153"/>
      <w:bookmarkEnd w:id="154"/>
      <w:bookmarkEnd w:id="155"/>
      <w:bookmarkEnd w:id="156"/>
      <w:bookmarkEnd w:id="157"/>
      <w:bookmarkEnd w:id="158"/>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59" w:name="__RefHeading___Toc1622_2803666824_副本_1"/>
      <w:bookmarkStart w:id="160" w:name="_Toc17765"/>
      <w:bookmarkStart w:id="161" w:name="_Toc76662972"/>
      <w:bookmarkStart w:id="162" w:name="_Toc30321450"/>
      <w:bookmarkStart w:id="163" w:name="_Toc30321404"/>
      <w:bookmarkStart w:id="164" w:name="_Toc47593241_副本_1"/>
      <w:bookmarkStart w:id="165" w:name="_Toc153345596_副本_1"/>
      <w:bookmarkEnd w:id="159"/>
      <w:r>
        <w:rPr>
          <w:rFonts w:ascii="宋体" w:hAnsi="宋体" w:eastAsia="宋体"/>
          <w:b w:val="false"/>
          <w:bCs w:val="false"/>
          <w:color w:val="000000"/>
        </w:rPr>
        <w:t>中经</w:t>
      </w:r>
      <w:bookmarkEnd w:id="160"/>
      <w:bookmarkEnd w:id="161"/>
      <w:bookmarkEnd w:id="162"/>
      <w:bookmarkEnd w:id="163"/>
      <w:bookmarkEnd w:id="164"/>
      <w:bookmarkEnd w:id="165"/>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4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rPr/>
  </w:style>
  <w:style w:type="character" w:styleId="Hyperlink">
    <w:name w:val="Hyperlink"/>
    <w:uiPriority w:val="0"/>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Style15" w:customStyle="1">
    <w:name w:val="页眉与页脚"/>
    <w:basedOn w:val="Normal"/>
    <w:uiPriority w:val="0"/>
    <w:qFormat/>
    <w:pPr/>
    <w:rPr/>
  </w:style>
  <w:style w:type="paragraph" w:styleId="user3" w:customStyle="1">
    <w:name w:val="页眉与页脚 (user)"/>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41</TotalTime>
  <Application>LibreOffice/25.2.5.2$Windows_X86_64 LibreOffice_project/03d19516eb2e1dd5d4ccd751a0d6f35f35e08022</Application>
  <AppVersion>15.0000</AppVersion>
  <Pages>26</Pages>
  <Words>37287</Words>
  <Characters>37427</Characters>
  <CharactersWithSpaces>37543</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2025-08-16T20:53:09Z</dcterms:modified>
  <cp:revision>307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2052-12.1.0.21915</vt:lpwstr>
  </property>
  <property fmtid="{D5CDD505-2E9C-101B-9397-08002B2CF9AE}" pid="4" name="KSOTemplateDocerSaveRecord">
    <vt:lpwstr>eyJoZGlkIjoiOWUwY2Q2YmJlMWJhYjYwMDI5M2E1OWQzYzg2YTdiMTMiLCJ1c2VySWQiOiIxMjAyODAzNzcifQ==</vt:lpwstr>
  </property>
</Properties>
</file>