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6"/>
  <w:body>
    <w:p w14:paraId="1972D97E">
      <w:pPr>
        <w:spacing w:line="360" w:lineRule="auto"/>
        <w:jc w:val="center"/>
        <w:rPr>
          <w:rFonts w:ascii="国标宋体" w:hAnsi="国标宋体" w:eastAsia="国标宋体"/>
        </w:rPr>
      </w:pPr>
      <w: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9C5F9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6BF2862F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18E2DC8D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0A47850A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6C52D7EE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09EA64F7">
      <w:pPr>
        <w:spacing w:line="360" w:lineRule="auto"/>
        <w:jc w:val="center"/>
        <w:rPr>
          <w:rFonts w:ascii="国标宋体" w:hAnsi="国标宋体" w:eastAsia="国标宋体"/>
        </w:rPr>
      </w:pPr>
      <w:r>
        <w:rPr>
          <w:rFonts w:ascii="国标宋体" w:hAnsi="国标宋体" w:eastAsia="国标宋体" w:cs="新宋体"/>
          <w:b/>
          <w:bCs/>
          <w:color w:val="FF0000"/>
          <w:sz w:val="84"/>
          <w:szCs w:val="84"/>
        </w:rPr>
        <w:t>黄石公</w:t>
      </w:r>
    </w:p>
    <w:p w14:paraId="6344C58A">
      <w:pPr>
        <w:spacing w:line="360" w:lineRule="auto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</w:p>
    <w:p w14:paraId="750D93D9">
      <w:pPr>
        <w:spacing w:line="360" w:lineRule="auto"/>
        <w:jc w:val="center"/>
        <w:rPr>
          <w:rFonts w:ascii="国标宋体" w:hAnsi="国标宋体" w:eastAsia="国标宋体"/>
        </w:rPr>
      </w:pPr>
      <w:r>
        <w:rPr>
          <w:rFonts w:ascii="国标宋体" w:hAnsi="国标宋体" w:eastAsia="国标宋体" w:cs="新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id w:val="147461481"/>
        <w:docPartObj>
          <w:docPartGallery w:val="Table of Contents"/>
          <w:docPartUnique/>
        </w:docPartObj>
      </w:sdtPr>
      <w:sdtContent>
        <w:p w14:paraId="71C1627D">
          <w:pPr>
            <w:pStyle w:val="138"/>
          </w:pPr>
          <w:r>
            <w:br w:type="page"/>
          </w:r>
          <w:r>
            <w:t>目录</w:t>
          </w:r>
        </w:p>
        <w:p w14:paraId="67FEF1E9">
          <w:pPr>
            <w:pStyle w:val="9"/>
            <w:tabs>
              <w:tab w:val="right" w:leader="dot" w:pos="9634"/>
            </w:tabs>
          </w:pPr>
          <w:r>
            <w:fldChar w:fldCharType="begin"/>
          </w:r>
          <w:r>
            <w:rPr>
              <w:rStyle w:val="88"/>
            </w:rPr>
            <w:instrText xml:space="preserve"> TOC \o "1-3" \u \h</w:instrText>
          </w:r>
          <w:r>
            <w:rPr>
              <w:rStyle w:val="88"/>
            </w:rPr>
            <w:fldChar w:fldCharType="separate"/>
          </w:r>
          <w:r>
            <w:fldChar w:fldCharType="begin"/>
          </w:r>
          <w:r>
            <w:instrText xml:space="preserve"> HYPERLINK \l _Toc28018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《素书》</w:t>
          </w:r>
          <w:r>
            <w:tab/>
          </w:r>
          <w:r>
            <w:fldChar w:fldCharType="begin"/>
          </w:r>
          <w:r>
            <w:instrText xml:space="preserve"> PAGEREF _Toc28018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0606331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_Toc12715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原始章</w:t>
          </w:r>
          <w:r>
            <w:tab/>
          </w:r>
          <w:r>
            <w:fldChar w:fldCharType="begin"/>
          </w:r>
          <w:r>
            <w:instrText xml:space="preserve"> PAGEREF _Toc12715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370F4FA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_Toc20482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正道章</w:t>
          </w:r>
          <w:r>
            <w:tab/>
          </w:r>
          <w:r>
            <w:fldChar w:fldCharType="begin"/>
          </w:r>
          <w:r>
            <w:instrText xml:space="preserve"> PAGEREF _Toc20482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E84450E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_Toc20009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求人之志章</w:t>
          </w:r>
          <w:r>
            <w:tab/>
          </w:r>
          <w:r>
            <w:fldChar w:fldCharType="begin"/>
          </w:r>
          <w:r>
            <w:instrText xml:space="preserve"> PAGEREF _Toc20009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964A7D5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_Toc14749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本德宗道章</w:t>
          </w:r>
          <w:r>
            <w:tab/>
          </w:r>
          <w:r>
            <w:fldChar w:fldCharType="begin"/>
          </w:r>
          <w:r>
            <w:instrText xml:space="preserve"> PAGEREF _Toc14749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1B2D5E6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_Toc12601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遵义章</w:t>
          </w:r>
          <w:r>
            <w:tab/>
          </w:r>
          <w:r>
            <w:fldChar w:fldCharType="begin"/>
          </w:r>
          <w:r>
            <w:instrText xml:space="preserve"> PAGEREF _Toc12601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78FB4ED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_Toc6502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安礼章</w:t>
          </w:r>
          <w:r>
            <w:tab/>
          </w:r>
          <w:r>
            <w:fldChar w:fldCharType="begin"/>
          </w:r>
          <w:r>
            <w:instrText xml:space="preserve"> PAGEREF _Toc6502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70F1B60">
          <w:pPr>
            <w:pStyle w:val="9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_Toc15629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《三略》</w:t>
          </w:r>
          <w:r>
            <w:tab/>
          </w:r>
          <w:r>
            <w:fldChar w:fldCharType="begin"/>
          </w:r>
          <w:r>
            <w:instrText xml:space="preserve"> PAGEREF _Toc15629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500C799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_Toc8701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上略</w:t>
          </w:r>
          <w:r>
            <w:tab/>
          </w:r>
          <w:r>
            <w:fldChar w:fldCharType="begin"/>
          </w:r>
          <w:r>
            <w:instrText xml:space="preserve"> PAGEREF _Toc8701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76428C8D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_Toc5679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中略</w:t>
          </w:r>
          <w:r>
            <w:tab/>
          </w:r>
          <w:r>
            <w:fldChar w:fldCharType="begin"/>
          </w:r>
          <w:r>
            <w:instrText xml:space="preserve"> PAGEREF _Toc5679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54B8CD54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_Toc22663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下略</w:t>
          </w:r>
          <w:r>
            <w:tab/>
          </w:r>
          <w:r>
            <w:fldChar w:fldCharType="begin"/>
          </w:r>
          <w:r>
            <w:instrText xml:space="preserve"> PAGEREF _Toc22663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474F4DD3">
          <w:pPr>
            <w:pStyle w:val="14"/>
            <w:tabs>
              <w:tab w:val="right" w:leader="dot" w:pos="9633"/>
            </w:tabs>
          </w:pPr>
          <w:r>
            <w:rPr>
              <w:rStyle w:val="88"/>
            </w:rPr>
            <w:fldChar w:fldCharType="end"/>
          </w:r>
        </w:p>
      </w:sdtContent>
    </w:sdt>
    <w:p w14:paraId="6D21B972">
      <w:pPr>
        <w:spacing w:line="360" w:lineRule="auto"/>
        <w:jc w:val="center"/>
        <w:rPr>
          <w:rFonts w:ascii="国标宋体" w:hAnsi="国标宋体" w:eastAsia="国标宋体"/>
        </w:rPr>
      </w:pPr>
      <w:r>
        <w:br w:type="page"/>
      </w:r>
    </w:p>
    <w:p w14:paraId="74FA40D0">
      <w:pPr>
        <w:pStyle w:val="92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End w:id="0"/>
      <w:bookmarkStart w:id="1" w:name="_Toc322781518"/>
      <w:bookmarkStart w:id="2" w:name="_Toc861227713"/>
      <w:bookmarkStart w:id="3" w:name="_Toc56891707"/>
      <w:bookmarkStart w:id="4" w:name="_Toc56891718"/>
      <w:bookmarkStart w:id="5" w:name="_Toc71289527"/>
      <w:bookmarkStart w:id="6" w:name="_Toc28018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  <w:bookmarkEnd w:id="6"/>
    </w:p>
    <w:p w14:paraId="6B09552D">
      <w:pPr>
        <w:pStyle w:val="93"/>
        <w:jc w:val="center"/>
        <w:rPr>
          <w:rFonts w:ascii="国标宋体" w:hAnsi="国标宋体" w:eastAsia="国标宋体"/>
        </w:rPr>
      </w:pPr>
      <w:bookmarkStart w:id="7" w:name="__RefHeading___Toc717_2313366074"/>
      <w:bookmarkEnd w:id="7"/>
      <w:bookmarkStart w:id="8" w:name="_Toc56891719"/>
      <w:bookmarkStart w:id="9" w:name="_Toc8187804"/>
      <w:bookmarkStart w:id="10" w:name="_Toc822270494"/>
      <w:bookmarkStart w:id="11" w:name="_Toc384121870"/>
      <w:bookmarkStart w:id="12" w:name="_Toc56891708"/>
      <w:bookmarkStart w:id="13" w:name="_Toc12715"/>
      <w:r>
        <w:rPr>
          <w:rFonts w:ascii="国标宋体" w:hAnsi="国标宋体" w:eastAsia="国标宋体"/>
        </w:rPr>
        <w:t>原始章</w:t>
      </w:r>
      <w:bookmarkEnd w:id="8"/>
      <w:bookmarkEnd w:id="9"/>
      <w:bookmarkEnd w:id="10"/>
      <w:bookmarkEnd w:id="11"/>
      <w:bookmarkEnd w:id="12"/>
      <w:bookmarkEnd w:id="13"/>
    </w:p>
    <w:p w14:paraId="023793E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夫道、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德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、仁、义、礼，五者一体也。</w:t>
      </w:r>
    </w:p>
    <w:p w14:paraId="3820BD3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这道、德、仁、义、礼，五位一体。</w:t>
      </w:r>
    </w:p>
    <w:p w14:paraId="2B29875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道者，人之所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蹈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，使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不知其所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由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履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，夙兴夜寐，以成人伦之序。</w:t>
      </w:r>
    </w:p>
    <w:p w14:paraId="23161CA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 w14:paraId="723C13A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夫欲为人之本，不可无一焉！</w:t>
      </w:r>
    </w:p>
    <w:p w14:paraId="17174E8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这想要做到为人的根本，道、德、仁、义、礼缺一不可啊！</w:t>
      </w:r>
    </w:p>
    <w:p w14:paraId="599E2F4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乎治乱之势，达乎去就之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 w14:paraId="1CB74B9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贤明的人和有德行的君子，明白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朝代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兴盛和衰败的道理，通晓事业成功和失败的渊薮（根源），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察知天下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治理和动乱的趋势，洞达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何时出仕辅佐、何时隐退保全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足够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高明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，而声名也能够流芳后世。</w:t>
      </w:r>
    </w:p>
    <w:p w14:paraId="3CE4E96A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0E7BD41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1257E607">
      <w:pPr>
        <w:pStyle w:val="93"/>
        <w:jc w:val="center"/>
        <w:rPr>
          <w:rFonts w:ascii="国标宋体" w:hAnsi="国标宋体" w:eastAsia="国标宋体"/>
        </w:rPr>
      </w:pPr>
      <w:bookmarkStart w:id="14" w:name="__RefHeading___Toc719_2313366074"/>
      <w:bookmarkEnd w:id="14"/>
      <w:bookmarkStart w:id="15" w:name="_Toc56891720"/>
      <w:bookmarkStart w:id="16" w:name="_Toc56891709"/>
      <w:bookmarkStart w:id="17" w:name="_Toc1753829687"/>
      <w:bookmarkStart w:id="18" w:name="_Toc1595276241"/>
      <w:bookmarkStart w:id="19" w:name="_Toc1758859752"/>
      <w:bookmarkStart w:id="20" w:name="_Toc20482"/>
      <w:r>
        <w:rPr>
          <w:rFonts w:ascii="国标宋体" w:hAnsi="国标宋体" w:eastAsia="国标宋体"/>
        </w:rPr>
        <w:t>正道章</w:t>
      </w:r>
      <w:bookmarkEnd w:id="15"/>
      <w:bookmarkEnd w:id="16"/>
      <w:bookmarkEnd w:id="17"/>
      <w:bookmarkEnd w:id="18"/>
      <w:bookmarkEnd w:id="19"/>
      <w:bookmarkEnd w:id="20"/>
    </w:p>
    <w:p w14:paraId="7DDB7D8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德足以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远，信足以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下，此人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俊也！</w:t>
      </w:r>
    </w:p>
    <w:p w14:paraId="6C123E1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 w14:paraId="119B329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行足以为仪表，智足以决嫌疑，信可以使守约，廉可以使分财，此人之豪也！</w:t>
      </w:r>
    </w:p>
    <w:p w14:paraId="5325E63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 w14:paraId="5C1C65C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守职而不废，处义而不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回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，见嫌而不苟免，见利而不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，此人之杰也！</w:t>
      </w:r>
    </w:p>
    <w:p w14:paraId="6BF9ABC1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 w14:paraId="0E8A720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21861FC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7E309802">
      <w:pPr>
        <w:pStyle w:val="93"/>
        <w:jc w:val="center"/>
        <w:rPr>
          <w:rFonts w:ascii="国标宋体" w:hAnsi="国标宋体" w:eastAsia="国标宋体"/>
        </w:rPr>
      </w:pPr>
      <w:bookmarkStart w:id="21" w:name="__RefHeading___Toc721_2313366074"/>
      <w:bookmarkEnd w:id="21"/>
      <w:bookmarkStart w:id="22" w:name="_Toc56891721"/>
      <w:bookmarkStart w:id="23" w:name="_Toc56891710"/>
      <w:bookmarkStart w:id="24" w:name="_Toc2042031548"/>
      <w:bookmarkStart w:id="25" w:name="_Toc1470619721"/>
      <w:bookmarkStart w:id="26" w:name="_Toc1771762751"/>
      <w:bookmarkStart w:id="27" w:name="_Toc20009"/>
      <w:r>
        <w:rPr>
          <w:rFonts w:ascii="国标宋体" w:hAnsi="国标宋体" w:eastAsia="国标宋体"/>
        </w:rPr>
        <w:t>求人之志章</w:t>
      </w:r>
      <w:bookmarkEnd w:id="22"/>
      <w:bookmarkEnd w:id="23"/>
      <w:bookmarkEnd w:id="24"/>
      <w:bookmarkEnd w:id="25"/>
      <w:bookmarkEnd w:id="26"/>
      <w:bookmarkEnd w:id="27"/>
    </w:p>
    <w:p w14:paraId="6AC4500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绝嗜禁欲，所以除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。抑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非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损恶，所以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禳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（ráng，祈祷消除灾殃、去邪除恶之祭）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过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贬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酒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阙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（jué，去除）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色，所以无污。</w:t>
      </w:r>
    </w:p>
    <w:p w14:paraId="23DB226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 w14:paraId="436844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避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远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，所以不误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。博学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，所以广知。高行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言，所以修身。</w:t>
      </w:r>
    </w:p>
    <w:p w14:paraId="10EE2B3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 w14:paraId="1A646C2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7F9F5DC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 w14:paraId="6BF8FB7A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近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恕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人。任材使能，所以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（成就）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恶斥谗，所以止乱。</w:t>
      </w:r>
    </w:p>
    <w:p w14:paraId="7EA7487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 w14:paraId="3E56814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推古验今，所以不惑。先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（揣测、审度）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（图谋，谋划）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，所以应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卒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。设变致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权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1322C66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 w14:paraId="1B3DA27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，所以保终。</w:t>
      </w:r>
    </w:p>
    <w:p w14:paraId="24AD353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 w14:paraId="0583C53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3AE0711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1B6FB27">
      <w:pPr>
        <w:pStyle w:val="93"/>
        <w:jc w:val="center"/>
        <w:rPr>
          <w:rFonts w:ascii="国标宋体" w:hAnsi="国标宋体" w:eastAsia="国标宋体"/>
        </w:rPr>
      </w:pPr>
      <w:bookmarkStart w:id="28" w:name="__RefHeading___Toc723_2313366074"/>
      <w:bookmarkEnd w:id="28"/>
      <w:bookmarkStart w:id="29" w:name="_Toc56891722"/>
      <w:bookmarkStart w:id="30" w:name="_Toc56891711"/>
      <w:bookmarkStart w:id="31" w:name="_Toc853852717"/>
      <w:bookmarkStart w:id="32" w:name="_Toc89629209"/>
      <w:bookmarkStart w:id="33" w:name="_Toc1919714699"/>
      <w:bookmarkStart w:id="34" w:name="_Toc14749"/>
      <w:r>
        <w:rPr>
          <w:rFonts w:ascii="国标宋体" w:hAnsi="国标宋体" w:eastAsia="国标宋体"/>
        </w:rPr>
        <w:t>本德宗道章</w:t>
      </w:r>
      <w:bookmarkEnd w:id="29"/>
      <w:bookmarkEnd w:id="30"/>
      <w:bookmarkEnd w:id="31"/>
      <w:bookmarkEnd w:id="32"/>
      <w:bookmarkEnd w:id="33"/>
      <w:bookmarkEnd w:id="34"/>
    </w:p>
    <w:p w14:paraId="4C2FA70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物，吉莫吉于知足。</w:t>
      </w:r>
    </w:p>
    <w:p w14:paraId="4851F90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 w14:paraId="4EDCE2A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苦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莫苦于多愿，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悲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莫悲于精散，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病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莫病于无常，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短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莫短于苟得，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幽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莫幽于贪鄙，孤莫孤于自恃，危莫危于任疑，败莫败于多私。</w:t>
      </w:r>
    </w:p>
    <w:p w14:paraId="4F9C68F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 w14:paraId="0E887A70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9745905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22A8010">
      <w:pPr>
        <w:pStyle w:val="93"/>
        <w:jc w:val="center"/>
        <w:rPr>
          <w:rFonts w:ascii="国标宋体" w:hAnsi="国标宋体" w:eastAsia="国标宋体"/>
        </w:rPr>
      </w:pPr>
      <w:bookmarkStart w:id="35" w:name="__RefHeading___Toc725_2313366074"/>
      <w:bookmarkEnd w:id="35"/>
      <w:bookmarkStart w:id="36" w:name="_Toc1814289545"/>
      <w:bookmarkStart w:id="37" w:name="_Toc56891712"/>
      <w:bookmarkStart w:id="38" w:name="_Toc275868257"/>
      <w:bookmarkStart w:id="39" w:name="_Toc56891723"/>
      <w:bookmarkStart w:id="40" w:name="_Toc998575240"/>
      <w:bookmarkStart w:id="41" w:name="_Toc12601"/>
      <w:r>
        <w:rPr>
          <w:rFonts w:ascii="国标宋体" w:hAnsi="国标宋体" w:eastAsia="国标宋体"/>
        </w:rPr>
        <w:t>遵义章</w:t>
      </w:r>
      <w:bookmarkEnd w:id="36"/>
      <w:bookmarkEnd w:id="37"/>
      <w:bookmarkEnd w:id="38"/>
      <w:bookmarkEnd w:id="39"/>
      <w:bookmarkEnd w:id="40"/>
      <w:bookmarkEnd w:id="41"/>
    </w:p>
    <w:p w14:paraId="6EC38CF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以明示下者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暗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，有过不知者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蔽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者废，后令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敬者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谒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（yè，禀告、说明）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公行者乱。私人以官者浮，凌下取胜者侵，名不胜实者耗。</w:t>
      </w:r>
    </w:p>
    <w:p w14:paraId="431A9D1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以聪慧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 w14:paraId="0DB194D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eastAsia="国标宋体" w:cs="仿宋"/>
          <w:kern w:val="2"/>
          <w:sz w:val="24"/>
          <w:szCs w:val="24"/>
        </w:rPr>
        <w:t>以过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弃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功者损，群下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（疏远）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（分开）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者沦。既用不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任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正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用人者不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（顺从，驯服）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，为人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，阴计外泄者败，厚敛薄施者凋。</w:t>
      </w:r>
    </w:p>
    <w:p w14:paraId="0212238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 w14:paraId="1D5B541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战士贫、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（指战国时的说客）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富者衰，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（货，财也）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赂公行者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。牧人以德者集，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</w:t>
      </w:r>
      <w:bookmarkStart w:id="42" w:name="__DdeLink__1867_2916535591"/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（惩罚）</w:t>
      </w:r>
      <w:bookmarkEnd w:id="42"/>
      <w:r>
        <w:rPr>
          <w:rFonts w:ascii="国标宋体" w:hAnsi="国标宋体" w:eastAsia="国标宋体" w:cs="仿宋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酷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残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 xml:space="preserve">。 </w:t>
      </w:r>
    </w:p>
    <w:p w14:paraId="2A0D41FE">
      <w:pPr>
        <w:spacing w:line="440" w:lineRule="exact"/>
        <w:ind w:firstLine="300"/>
        <w:rPr>
          <w:rFonts w:ascii="国标宋体" w:hAnsi="国标宋体" w:eastAsia="国标宋体"/>
        </w:rPr>
      </w:pPr>
      <w:bookmarkStart w:id="43" w:name="__DdeLink__1869_2916535591"/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43"/>
    </w:p>
    <w:p w14:paraId="6662CAA8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bookmarkStart w:id="44" w:name="_GoBack_Copy_1"/>
      <w:bookmarkEnd w:id="44"/>
    </w:p>
    <w:p w14:paraId="1B563498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4A6CC616">
      <w:pPr>
        <w:pStyle w:val="93"/>
        <w:jc w:val="center"/>
        <w:rPr>
          <w:rFonts w:ascii="国标宋体" w:hAnsi="国标宋体" w:eastAsia="国标宋体"/>
        </w:rPr>
      </w:pPr>
      <w:bookmarkStart w:id="45" w:name="__RefHeading___Toc727_2313366074"/>
      <w:bookmarkEnd w:id="45"/>
      <w:bookmarkStart w:id="46" w:name="_Toc310420694"/>
      <w:bookmarkStart w:id="47" w:name="_Toc56891724"/>
      <w:bookmarkStart w:id="48" w:name="_Toc56891713"/>
      <w:bookmarkStart w:id="49" w:name="_Toc772931798"/>
      <w:bookmarkStart w:id="50" w:name="_Toc290866600"/>
      <w:bookmarkStart w:id="51" w:name="_Toc6502"/>
      <w:r>
        <w:rPr>
          <w:rFonts w:ascii="国标宋体" w:hAnsi="国标宋体" w:eastAsia="国标宋体"/>
        </w:rPr>
        <w:t>安礼章</w:t>
      </w:r>
      <w:bookmarkEnd w:id="46"/>
      <w:bookmarkEnd w:id="47"/>
      <w:bookmarkEnd w:id="48"/>
      <w:bookmarkEnd w:id="49"/>
      <w:bookmarkEnd w:id="50"/>
      <w:bookmarkEnd w:id="51"/>
    </w:p>
    <w:p w14:paraId="6D6DA52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怨在不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小过，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患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豫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迎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来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，贫在弃时。</w:t>
      </w:r>
    </w:p>
    <w:p w14:paraId="6D5F7F6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 w14:paraId="6CE7D8C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士无正友，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曲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（邪僻，不正派）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上无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（公正的；正义的）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下。</w:t>
      </w:r>
    </w:p>
    <w:p w14:paraId="16D85AD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 w14:paraId="3896E10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危国无贤人，乱政无善人。爱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 w14:paraId="374670E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土地贫瘠的地方，长不出高大的植物；水浅的地方，不会有大鱼遨游；光秃的树木，不会有大型禽类栖息；稀疏的树林，不会有大的兽类居住。</w:t>
      </w:r>
    </w:p>
    <w:p w14:paraId="2DE8809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虎皮者辱。</w:t>
      </w:r>
    </w:p>
    <w:p w14:paraId="183A3C3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山势陡峭者，容易崩塌；泽水盈满者，容易漫溢。丢弃美玉却捡取石头者，和瞎子一样；绵羊的禀性却披上虎皮者，会被羞辱。</w:t>
      </w:r>
    </w:p>
    <w:p w14:paraId="4F97ECF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衣不举领者倒，走不视地者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失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者慎将失，恶其迹者须避之。畏危者安，畏亡者存。</w:t>
      </w:r>
    </w:p>
    <w:p w14:paraId="71B61832">
      <w:pPr>
        <w:spacing w:line="440" w:lineRule="exact"/>
        <w:ind w:firstLine="300"/>
        <w:rPr>
          <w:rFonts w:ascii="国标宋体" w:hAnsi="国标宋体" w:eastAsia="国标宋体"/>
        </w:rPr>
      </w:pPr>
      <w:bookmarkStart w:id="52" w:name="__DdeLink__1962_604787568"/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52"/>
    </w:p>
    <w:p w14:paraId="436F036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 w14:paraId="2D22F43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 w14:paraId="3F99649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同志相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（妨碍，妨害）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相亲；同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难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（nàn，灾难；祸害，人为而产生的祸害）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相济，同道相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成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；同艺相窥，同巧相胜。此乃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数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，不可与理违。</w:t>
      </w:r>
    </w:p>
    <w:p w14:paraId="32D25BC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 w14:paraId="20E7E27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释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 w14:paraId="6FCD9E8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 w14:paraId="19AC6AE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5CB4DA37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623E3E7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7CD4D42">
      <w:pPr>
        <w:pStyle w:val="92"/>
        <w:jc w:val="left"/>
        <w:rPr>
          <w:rFonts w:ascii="国标宋体" w:hAnsi="国标宋体" w:eastAsia="国标宋体"/>
        </w:rPr>
      </w:pPr>
      <w:bookmarkStart w:id="53" w:name="__RefHeading___Toc729_2313366074"/>
      <w:bookmarkEnd w:id="53"/>
      <w:bookmarkStart w:id="54" w:name="_Toc56891725"/>
      <w:bookmarkStart w:id="55" w:name="_Toc56891714"/>
      <w:bookmarkStart w:id="56" w:name="_Toc2035579937"/>
      <w:bookmarkStart w:id="57" w:name="_Toc1962296066"/>
      <w:bookmarkStart w:id="58" w:name="_Toc1587761966"/>
      <w:bookmarkStart w:id="59" w:name="_Toc15629"/>
      <w:r>
        <w:rPr>
          <w:rFonts w:ascii="国标宋体" w:hAnsi="国标宋体" w:eastAsia="国标宋体"/>
        </w:rPr>
        <w:t>《三略》</w:t>
      </w:r>
      <w:bookmarkEnd w:id="54"/>
      <w:bookmarkEnd w:id="55"/>
      <w:bookmarkEnd w:id="56"/>
      <w:bookmarkEnd w:id="57"/>
      <w:bookmarkEnd w:id="58"/>
      <w:bookmarkEnd w:id="59"/>
    </w:p>
    <w:p w14:paraId="78F6F77E">
      <w:pPr>
        <w:pStyle w:val="93"/>
        <w:jc w:val="center"/>
        <w:rPr>
          <w:rFonts w:ascii="国标宋体" w:hAnsi="国标宋体" w:eastAsia="国标宋体"/>
        </w:rPr>
      </w:pPr>
      <w:bookmarkStart w:id="60" w:name="__RefHeading___Toc731_2313366074"/>
      <w:bookmarkEnd w:id="60"/>
      <w:bookmarkStart w:id="61" w:name="_Toc538174901"/>
      <w:bookmarkStart w:id="62" w:name="_Toc56891715"/>
      <w:bookmarkStart w:id="63" w:name="_Toc1351530871"/>
      <w:bookmarkStart w:id="64" w:name="_Toc2075154971"/>
      <w:bookmarkStart w:id="65" w:name="_Toc56891726"/>
      <w:bookmarkStart w:id="66" w:name="_Toc8701"/>
      <w:r>
        <w:rPr>
          <w:rFonts w:ascii="国标宋体" w:hAnsi="国标宋体" w:eastAsia="国标宋体"/>
        </w:rPr>
        <w:t>上略</w:t>
      </w:r>
      <w:bookmarkEnd w:id="61"/>
      <w:bookmarkEnd w:id="62"/>
      <w:bookmarkEnd w:id="63"/>
      <w:bookmarkEnd w:id="64"/>
      <w:bookmarkEnd w:id="65"/>
      <w:bookmarkEnd w:id="66"/>
    </w:p>
    <w:p w14:paraId="488D00A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愿得其志。</w:t>
      </w:r>
    </w:p>
    <w:p w14:paraId="5945CBF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 w14:paraId="2CB2AA6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设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，刚有所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；弱有所用，强有所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，兼此四者而制其宜。</w:t>
      </w:r>
    </w:p>
    <w:p w14:paraId="684FBCD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 w14:paraId="66DB3E3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端末未见，人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能知。天地神明，与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，变动无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，扶成天威，匡正八极，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定九夷。如此谋者，为帝王师。</w:t>
      </w:r>
    </w:p>
    <w:p w14:paraId="04A0435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 w14:paraId="6BCE74F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（mǐ，同“弭”，平息，消灭）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四海，卷之不盈怀。居之不以室宅，守之不以城郭；藏之胸臆，而敌国服。</w:t>
      </w:r>
    </w:p>
    <w:p w14:paraId="35AAFAC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 w14:paraId="297F287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 w14:paraId="308650E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 w14:paraId="6551DFE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 w14:paraId="0D34D35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 w14:paraId="55A7A20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军国之要，察众心，施百务。</w:t>
      </w:r>
    </w:p>
    <w:p w14:paraId="492F15D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统军治国的要旨，在于体察众人的心理，并施行各种政务。</w:t>
      </w:r>
    </w:p>
    <w:p w14:paraId="00E25E0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之，毁者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之，反者废之，横者挫之，满者损之，归者招之，服者居之，降者脱之。</w:t>
      </w:r>
    </w:p>
    <w:p w14:paraId="41B33F5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 w14:paraId="5E4F0A1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获固守之，获阨塞之，获难屯之，获城割之，获地裂之，获财散之。</w:t>
      </w:r>
    </w:p>
    <w:p w14:paraId="581BCEA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 w14:paraId="78E3A81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待之，敌暴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（suí，安抚）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之，敌悖义之，敌睦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之。顺举挫之，因势破之，放言过之，四网罗之。</w:t>
      </w:r>
    </w:p>
    <w:p w14:paraId="70AEACF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 w14:paraId="7AF7268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得而勿有，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608A8D8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 w14:paraId="28F274D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娭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 w14:paraId="1637643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 w14:paraId="5D4D5AF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禄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 w14:paraId="51414CF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 w14:paraId="14216D2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 w14:paraId="70A8894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 w14:paraId="187F17F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eastAsia="国标宋体" w:cs="仿宋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eastAsia="国标宋体" w:cs="仿宋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也。故曰：蓄恩不倦，以一取万。</w:t>
      </w:r>
    </w:p>
    <w:p w14:paraId="597D5A51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 w14:paraId="7CA1BEE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 w14:paraId="5CAAB5D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上说:“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 w14:paraId="28FFE8F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则不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废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 w14:paraId="6C34CCA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 w14:paraId="570331A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 w14:paraId="102D0C9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 w14:paraId="61A04AE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 w14:paraId="13303CB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 w14:paraId="56DCF19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《军谶》曰：贤者所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 w14:paraId="0553727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 w14:paraId="1778053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之言，廊庙之语，兴衰之事，将所宜闻。</w:t>
      </w:r>
    </w:p>
    <w:p w14:paraId="5B5CCC6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 w14:paraId="3421054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eastAsia="国标宋体" w:cs="仿宋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式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；有三，则下奔北；有四，则祸及国。</w:t>
      </w:r>
    </w:p>
    <w:p w14:paraId="7B784C8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 w14:paraId="506BBE8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。将有此三者，军必败。</w:t>
      </w:r>
    </w:p>
    <w:p w14:paraId="1434FCD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 w14:paraId="7EA10CF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 w14:paraId="5D60CA1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 w14:paraId="5691FED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其所死，则所求者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，则士争死。</w:t>
      </w:r>
    </w:p>
    <w:p w14:paraId="2316C82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 w14:paraId="5E3628F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，故能使三军如一心，则其胜可全。</w:t>
      </w:r>
    </w:p>
    <w:p w14:paraId="19906AA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地的国家，</w:t>
      </w:r>
      <w:bookmarkStart w:id="82" w:name="_GoBack"/>
      <w:bookmarkEnd w:id="82"/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 w14:paraId="64FFC79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苏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（cuàn，烧火做饭）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 w14:paraId="5C6FF5F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 w14:paraId="14FA219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，是谓亡国。</w:t>
      </w:r>
    </w:p>
    <w:p w14:paraId="774A8DF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《军谶》说:“君主肆行暴虐，则下面的官吏则会急苛刻薄。征敛赋税又多又重，滥施刑罚漫无止境，人民互相残害，是为行将灭亡的国家。</w:t>
      </w:r>
    </w:p>
    <w:p w14:paraId="603E31E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上下昏，饰躬正颜，以获高官，是谓盗端。</w:t>
      </w:r>
    </w:p>
    <w:p w14:paraId="71A7ABD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 w14:paraId="6817A42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(讪，诽毁也。诽谤，诋毁)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，是谓乱源。</w:t>
      </w:r>
    </w:p>
    <w:p w14:paraId="5A7529B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 w14:paraId="6873122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立恩，夺在位权，侵侮下民，国内哗喧，臣蔽不言，是谓乱根。</w:t>
      </w:r>
    </w:p>
    <w:p w14:paraId="6DA8989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 w14:paraId="2644138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危其君，是谓国奸。</w:t>
      </w:r>
    </w:p>
    <w:p w14:paraId="3C59553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 w14:paraId="5FB6EF0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，强弱相虏，莫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（guā，适，疾也。迅速）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，延及君子，国受其咎。</w:t>
      </w:r>
    </w:p>
    <w:p w14:paraId="6224C06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 w14:paraId="1451888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善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（原指居于君主的地位或官吏任职做官,现也指当政）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，国受其害。</w:t>
      </w:r>
    </w:p>
    <w:p w14:paraId="1E0A0D7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 w14:paraId="0952319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贱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贵，久而益大，上不忍废，国受其败。</w:t>
      </w:r>
    </w:p>
    <w:p w14:paraId="53D1117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 w14:paraId="082A2C4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伐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（jī，稽，留止也）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留行事，命令不通。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其政，变古易常。君用佞人，必受祸殃。</w:t>
      </w:r>
    </w:p>
    <w:p w14:paraId="7D9DFBE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 w14:paraId="72045F0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；毁誉并兴，壅塞主聪。各阿所私，令主失忠。</w:t>
      </w:r>
    </w:p>
    <w:p w14:paraId="04B4D8B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 w14:paraId="0C4D90E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，万事乃理；主聘岩穴，士乃得实。谋及负薪，功乃可述；不失人心，德乃洋溢。</w:t>
      </w:r>
    </w:p>
    <w:p w14:paraId="45EA91A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 w14:paraId="75511D2F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6D62C529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61D812B4">
      <w:pPr>
        <w:pStyle w:val="93"/>
        <w:jc w:val="center"/>
        <w:rPr>
          <w:rFonts w:ascii="国标宋体" w:hAnsi="国标宋体" w:eastAsia="国标宋体"/>
        </w:rPr>
      </w:pPr>
      <w:bookmarkStart w:id="67" w:name="__RefHeading___Toc733_2313366074"/>
      <w:bookmarkEnd w:id="67"/>
      <w:bookmarkStart w:id="68" w:name="_Toc1071377024"/>
      <w:bookmarkStart w:id="69" w:name="_Toc384967635"/>
      <w:bookmarkStart w:id="70" w:name="_Toc56891716"/>
      <w:bookmarkStart w:id="71" w:name="_Toc56891727"/>
      <w:bookmarkStart w:id="72" w:name="_Toc552071664"/>
      <w:bookmarkStart w:id="73" w:name="_Toc5679"/>
      <w:r>
        <w:rPr>
          <w:rFonts w:ascii="国标宋体" w:hAnsi="国标宋体" w:eastAsia="国标宋体"/>
        </w:rPr>
        <w:t>中略</w:t>
      </w:r>
      <w:bookmarkEnd w:id="68"/>
      <w:bookmarkEnd w:id="69"/>
      <w:bookmarkEnd w:id="70"/>
      <w:bookmarkEnd w:id="71"/>
      <w:bookmarkEnd w:id="72"/>
      <w:bookmarkEnd w:id="73"/>
    </w:p>
    <w:p w14:paraId="064E6BD1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天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则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地，有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而无害。王者，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 w14:paraId="5A6F5A6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 w14:paraId="229F3F32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御，则功难成。”</w:t>
      </w:r>
    </w:p>
    <w:p w14:paraId="0323928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《军势》说:“出兵打仗，将帅贵在拥有专断独行的权力；如果进退都受朝廷内的掣肘牵制，则难以取得成功。”</w:t>
      </w:r>
    </w:p>
    <w:p w14:paraId="05A49567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趋其利，愚者不顾其死；因其至情而用之，此军之微权也。”</w:t>
      </w:r>
    </w:p>
    <w:p w14:paraId="177090E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 w14:paraId="72F5484C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《军势》曰：“无使辩士谈说敌美，为其惑众；无使仁者主财，为其多施而附于下。”</w:t>
      </w:r>
    </w:p>
    <w:p w14:paraId="0C93AB4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《军势》说:“不要让能言善辩的人谈论敌人的优势，因为他会蛊惑众人；不要让宅心仁厚的人主管财物，因为他会滥施财物以迎合下属。”</w:t>
      </w:r>
    </w:p>
    <w:p w14:paraId="1B70A492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，不得为吏士卜问军之吉凶。”</w:t>
      </w:r>
    </w:p>
    <w:p w14:paraId="186F12C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 w14:paraId="27B92CCA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《军势》曰：“使义士不以财。”故义者不为不仁者死，智者不为暗主谋。</w:t>
      </w:r>
    </w:p>
    <w:p w14:paraId="11F630C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 w14:paraId="41E7122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 w14:paraId="7A22CD9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 w14:paraId="308053A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无以成功。</w:t>
      </w:r>
    </w:p>
    <w:p w14:paraId="7372100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 w14:paraId="7F5C807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圣人体天，贤者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法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成败；《中略》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德行，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治国之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。人臣深晓《中略》，则能全功保身。</w:t>
      </w:r>
    </w:p>
    <w:p w14:paraId="61897A2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 w14:paraId="4FE7253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其心。</w:t>
      </w:r>
    </w:p>
    <w:p w14:paraId="33F4454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 w14:paraId="1927794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驳也。存社稷，罗英雄者，《中略》之势也！故世主秘焉。</w:t>
      </w:r>
    </w:p>
    <w:p w14:paraId="585E277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 w14:paraId="74CDA9B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5F6E9185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38950478">
      <w:pPr>
        <w:pStyle w:val="93"/>
        <w:jc w:val="center"/>
        <w:rPr>
          <w:rFonts w:ascii="国标宋体" w:hAnsi="国标宋体" w:eastAsia="国标宋体"/>
        </w:rPr>
      </w:pPr>
      <w:bookmarkStart w:id="74" w:name="__RefHeading___Toc735_2313366074"/>
      <w:bookmarkEnd w:id="74"/>
      <w:bookmarkStart w:id="75" w:name="_Toc182539758"/>
      <w:bookmarkStart w:id="76" w:name="_Toc2100530062"/>
      <w:bookmarkStart w:id="77" w:name="_Toc45592680"/>
      <w:bookmarkStart w:id="78" w:name="_Toc56891717"/>
      <w:bookmarkStart w:id="79" w:name="_Toc56891728"/>
      <w:bookmarkStart w:id="80" w:name="_Toc22663"/>
      <w:r>
        <w:rPr>
          <w:rFonts w:ascii="国标宋体" w:hAnsi="国标宋体" w:eastAsia="国标宋体"/>
        </w:rPr>
        <w:t>下略</w:t>
      </w:r>
      <w:bookmarkEnd w:id="75"/>
      <w:bookmarkEnd w:id="76"/>
      <w:bookmarkEnd w:id="77"/>
      <w:bookmarkEnd w:id="78"/>
      <w:bookmarkEnd w:id="79"/>
      <w:bookmarkEnd w:id="80"/>
    </w:p>
    <w:p w14:paraId="1CC1BD4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夫能扶天下之危者，则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据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六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合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贤以德，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。微者，危之阶；乖者，亡之徵。</w:t>
      </w:r>
    </w:p>
    <w:p w14:paraId="6A54DA0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 w14:paraId="7DF527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贤人之政，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 w14:paraId="3127B02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 w14:paraId="466833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佚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其有者安，贪人之有者残。残灭之政，累世受患；造作过制，虽成必败。</w:t>
      </w:r>
    </w:p>
    <w:p w14:paraId="7AF13E2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 w14:paraId="5341C11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己而教人者逆，正己而化人者顺；逆者乱之招，顺者治之要。</w:t>
      </w:r>
    </w:p>
    <w:p w14:paraId="7979EC7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 w14:paraId="703E665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 w14:paraId="2911F9C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 w14:paraId="7907531E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 w14:paraId="527F651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 w14:paraId="65E9402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下尽力。</w:t>
      </w:r>
    </w:p>
    <w:p w14:paraId="08069EC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 w14:paraId="467CE76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废一善，则众善衰；赏一恶，则众恶归。善者得其祐，恶者受其诛，则国安而众善至。</w:t>
      </w:r>
    </w:p>
    <w:p w14:paraId="2E6ED05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 w14:paraId="7DC3954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众疑无定国，众惑无治民。疑定惑还，国乃可安。</w:t>
      </w:r>
    </w:p>
    <w:p w14:paraId="1EC1AC0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 w14:paraId="6C45554E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 w14:paraId="1B11429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 w14:paraId="3784CCC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 w14:paraId="09E8E0D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 w14:paraId="50BC082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夫圣人君子，明盛衰之源，通成败之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端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（头绪）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治乱之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机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（先兆，征兆）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，知去就之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调节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 w14:paraId="38B7D81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18"/>
        </w:rPr>
        <w:t>这圣人君子，明白朝代兴盛和衰败的根源（如民心向背、君主德行），通晓事业成功和失败的头绪（如战略决策、用人得失），察知天下治理和动乱的征兆（如政策宽严、社会矛盾），知道何时出仕辅佐、何时隐退保全的调节。虽然穷困也不担任注定灭亡的政权官职，虽然贫寒也不接受混乱之邦的俸禄。隐居坚守正道的人，待时机成熟而有所行动，则能位极人臣；遇到德行与自己相合的君主，则能建立殊绝的功勋，所以他们的道行高明而得以名扬后世。</w:t>
      </w:r>
    </w:p>
    <w:p w14:paraId="06AE386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爝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eastAsia="国标宋体" w:cs="仿宋"/>
          <w:color w:val="808080"/>
          <w:kern w:val="2"/>
          <w:sz w:val="24"/>
          <w:szCs w:val="24"/>
        </w:rPr>
        <w:t>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而不进者，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 w14:paraId="000D3DB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 w14:paraId="1180796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 w14:paraId="11FE1E3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 w14:paraId="6F78156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贤臣内，则邪臣外；邪臣内，则贤臣毙。内外失宜，祸乱传世。</w:t>
      </w:r>
    </w:p>
    <w:p w14:paraId="77CE3B2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 w14:paraId="3631710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大臣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主，众奸集聚；臣当君尊，上下乃昏；君当臣处，上下失序。</w:t>
      </w:r>
    </w:p>
    <w:p w14:paraId="5EF61E2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 w14:paraId="1BE94AA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 w14:paraId="5A62B9A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 w14:paraId="4EFA6BB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 w14:paraId="1932C74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使一人获利而使百人</w:t>
      </w:r>
      <w:r>
        <w:rPr>
          <w:rFonts w:ascii="国标宋体" w:hAnsi="国标宋体" w:cs="仿宋" w:eastAsiaTheme="minorEastAsia"/>
          <w:color w:val="808080"/>
          <w:kern w:val="2"/>
          <w:sz w:val="15"/>
          <w:szCs w:val="18"/>
        </w:rPr>
        <w:t>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害，人民就会离开城郭；使一人得利而使万人受害，国家就会人心思散。除掉一人而让百人得利，人们就会思慕他的恩泽；除掉一人而让万人得利，政治就不会发生动乱。</w:t>
      </w:r>
      <w:bookmarkStart w:id="81" w:name="_Hlk105965181"/>
      <w:bookmarkEnd w:id="81"/>
    </w:p>
    <w:sectPr>
      <w:footerReference r:id="rId6" w:type="first"/>
      <w:footerReference r:id="rId4" w:type="default"/>
      <w:footerReference r:id="rId5" w:type="even"/>
      <w:pgSz w:w="11906" w:h="16838" w:orient="landscape"/>
      <w:pgMar w:top="1136" w:right="1136" w:bottom="1193" w:left="1136" w:header="0" w:footer="1136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xi Sans">
    <w:altName w:val="Liberation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国标宋体">
    <w:altName w:val="宋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B715D">
    <w:pPr>
      <w:pStyle w:val="12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75C3D">
    <w:pPr>
      <w:pStyle w:val="1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F7E">
    <w:pPr>
      <w:pStyle w:val="12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OWUwY2Q2YmJlMWJhYjYwMDI5M2E1OWQzYzg2YTdiMTMifQ=="/>
  </w:docVars>
  <w:rsids>
    <w:rsidRoot w:val="00000000"/>
    <w:rsid w:val="4D590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2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8"/>
    <w:uiPriority w:val="0"/>
  </w:style>
  <w:style w:type="paragraph" w:customStyle="1" w:styleId="8">
    <w:name w:val="页眉与页脚"/>
    <w:basedOn w:val="1"/>
    <w:qFormat/>
    <w:uiPriority w:val="0"/>
  </w:style>
  <w:style w:type="paragraph" w:styleId="9">
    <w:name w:val="toc 1"/>
    <w:basedOn w:val="1"/>
    <w:next w:val="1"/>
    <w:uiPriority w:val="0"/>
    <w:pPr>
      <w:spacing w:line="360" w:lineRule="auto"/>
    </w:pPr>
  </w:style>
  <w:style w:type="paragraph" w:styleId="10">
    <w:name w:val="index heading"/>
    <w:basedOn w:val="11"/>
    <w:uiPriority w:val="0"/>
    <w:pPr>
      <w:suppressLineNumbers/>
    </w:pPr>
    <w:rPr>
      <w:b/>
      <w:bCs/>
      <w:sz w:val="32"/>
      <w:szCs w:val="32"/>
    </w:rPr>
  </w:style>
  <w:style w:type="paragraph" w:customStyle="1" w:styleId="11">
    <w:name w:val="标题样式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12">
    <w:name w:val="Subtitle"/>
    <w:basedOn w:val="1"/>
    <w:qFormat/>
    <w:uiPriority w:val="11"/>
    <w:pPr>
      <w:spacing w:before="200" w:after="200"/>
    </w:pPr>
    <w:rPr>
      <w:sz w:val="24"/>
      <w:szCs w:val="24"/>
    </w:rPr>
  </w:style>
  <w:style w:type="paragraph" w:styleId="13">
    <w:name w:val="List"/>
    <w:basedOn w:val="6"/>
    <w:uiPriority w:val="0"/>
    <w:rPr>
      <w:rFonts w:cs="Lucida Sans"/>
    </w:rPr>
  </w:style>
  <w:style w:type="paragraph" w:styleId="14">
    <w:name w:val="toc 2"/>
    <w:basedOn w:val="1"/>
    <w:next w:val="1"/>
    <w:uiPriority w:val="0"/>
    <w:pPr>
      <w:ind w:left="200"/>
    </w:pPr>
  </w:style>
  <w:style w:type="paragraph" w:styleId="1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19">
    <w:name w:val="endnote reference"/>
    <w:qFormat/>
    <w:uiPriority w:val="0"/>
    <w:rPr>
      <w:vertAlign w:val="superscript"/>
    </w:rPr>
  </w:style>
  <w:style w:type="character" w:styleId="20">
    <w:name w:val="line number"/>
    <w:uiPriority w:val="0"/>
  </w:style>
  <w:style w:type="character" w:styleId="21">
    <w:name w:val="Hyperlink"/>
    <w:uiPriority w:val="0"/>
    <w:rPr>
      <w:color w:val="000080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尾注符 (user)"/>
    <w:qFormat/>
    <w:uiPriority w:val="0"/>
    <w:rPr>
      <w:vertAlign w:val="superscript"/>
    </w:rPr>
  </w:style>
  <w:style w:type="character" w:customStyle="1" w:styleId="24">
    <w:name w:val="尾注符"/>
    <w:qFormat/>
    <w:uiPriority w:val="0"/>
    <w:rPr>
      <w:vertAlign w:val="superscript"/>
    </w:rPr>
  </w:style>
  <w:style w:type="character" w:customStyle="1" w:styleId="25">
    <w:name w:val="Endnote Characters"/>
    <w:qFormat/>
    <w:uiPriority w:val="0"/>
    <w:rPr>
      <w:vertAlign w:val="superscript"/>
    </w:rPr>
  </w:style>
  <w:style w:type="character" w:customStyle="1" w:styleId="26">
    <w:name w:val="Endnote Characters1"/>
    <w:qFormat/>
    <w:uiPriority w:val="0"/>
    <w:rPr>
      <w:vertAlign w:val="superscript"/>
    </w:rPr>
  </w:style>
  <w:style w:type="character" w:customStyle="1" w:styleId="27">
    <w:name w:val="Line Numbering"/>
    <w:qFormat/>
    <w:uiPriority w:val="0"/>
  </w:style>
  <w:style w:type="character" w:customStyle="1" w:styleId="28">
    <w:name w:val="Internet Link"/>
    <w:qFormat/>
    <w:uiPriority w:val="0"/>
    <w:rPr>
      <w:color w:val="000080"/>
      <w:u w:val="single"/>
    </w:rPr>
  </w:style>
  <w:style w:type="character" w:customStyle="1" w:styleId="29">
    <w:name w:val="脚注符 (user)"/>
    <w:qFormat/>
    <w:uiPriority w:val="0"/>
    <w:rPr>
      <w:vertAlign w:val="superscript"/>
    </w:rPr>
  </w:style>
  <w:style w:type="character" w:customStyle="1" w:styleId="30">
    <w:name w:val="脚注符"/>
    <w:qFormat/>
    <w:uiPriority w:val="0"/>
    <w:rPr>
      <w:vertAlign w:val="superscript"/>
    </w:rPr>
  </w:style>
  <w:style w:type="character" w:customStyle="1" w:styleId="31">
    <w:name w:val="Footnote Characters"/>
    <w:qFormat/>
    <w:uiPriority w:val="0"/>
    <w:rPr>
      <w:vertAlign w:val="superscript"/>
    </w:rPr>
  </w:style>
  <w:style w:type="character" w:customStyle="1" w:styleId="32">
    <w:name w:val="Footnote Characters1"/>
    <w:qFormat/>
    <w:uiPriority w:val="0"/>
    <w:rPr>
      <w:vertAlign w:val="superscript"/>
    </w:rPr>
  </w:style>
  <w:style w:type="character" w:customStyle="1" w:styleId="33">
    <w:name w:val="Internet Link1"/>
    <w:qFormat/>
    <w:uiPriority w:val="0"/>
    <w:rPr>
      <w:color w:val="0563C1"/>
      <w:u w:val="single"/>
    </w:rPr>
  </w:style>
  <w:style w:type="character" w:customStyle="1" w:styleId="34">
    <w:name w:val="Endnote Characters11"/>
    <w:qFormat/>
    <w:uiPriority w:val="0"/>
    <w:rPr>
      <w:vertAlign w:val="superscript"/>
    </w:rPr>
  </w:style>
  <w:style w:type="character" w:customStyle="1" w:styleId="35">
    <w:name w:val="Endnote Characters111"/>
    <w:qFormat/>
    <w:uiPriority w:val="0"/>
    <w:rPr>
      <w:vertAlign w:val="superscript"/>
    </w:rPr>
  </w:style>
  <w:style w:type="character" w:customStyle="1" w:styleId="36">
    <w:name w:val="Endnote Characters1111"/>
    <w:qFormat/>
    <w:uiPriority w:val="0"/>
    <w:rPr>
      <w:vertAlign w:val="superscript"/>
    </w:rPr>
  </w:style>
  <w:style w:type="character" w:customStyle="1" w:styleId="37">
    <w:name w:val="Endnote Characters11111"/>
    <w:qFormat/>
    <w:uiPriority w:val="0"/>
    <w:rPr>
      <w:vertAlign w:val="superscript"/>
    </w:rPr>
  </w:style>
  <w:style w:type="character" w:customStyle="1" w:styleId="38">
    <w:name w:val="Endnote Characters111111"/>
    <w:qFormat/>
    <w:uiPriority w:val="0"/>
    <w:rPr>
      <w:vertAlign w:val="superscript"/>
    </w:rPr>
  </w:style>
  <w:style w:type="character" w:customStyle="1" w:styleId="39">
    <w:name w:val="Footnote Characters11"/>
    <w:qFormat/>
    <w:uiPriority w:val="0"/>
    <w:rPr>
      <w:vertAlign w:val="superscript"/>
    </w:rPr>
  </w:style>
  <w:style w:type="character" w:customStyle="1" w:styleId="40">
    <w:name w:val="Footnote Characters111"/>
    <w:qFormat/>
    <w:uiPriority w:val="0"/>
    <w:rPr>
      <w:vertAlign w:val="superscript"/>
    </w:rPr>
  </w:style>
  <w:style w:type="character" w:customStyle="1" w:styleId="41">
    <w:name w:val="Footnote Characters1111"/>
    <w:qFormat/>
    <w:uiPriority w:val="0"/>
    <w:rPr>
      <w:vertAlign w:val="superscript"/>
    </w:rPr>
  </w:style>
  <w:style w:type="character" w:customStyle="1" w:styleId="42">
    <w:name w:val="Footnote Characters11111"/>
    <w:qFormat/>
    <w:uiPriority w:val="0"/>
    <w:rPr>
      <w:vertAlign w:val="superscript"/>
    </w:rPr>
  </w:style>
  <w:style w:type="character" w:customStyle="1" w:styleId="43">
    <w:name w:val="Footnote Characters111111"/>
    <w:qFormat/>
    <w:uiPriority w:val="0"/>
    <w:rPr>
      <w:vertAlign w:val="superscript"/>
    </w:rPr>
  </w:style>
  <w:style w:type="character" w:customStyle="1" w:styleId="44">
    <w:name w:val="Heading 1 Char"/>
    <w:basedOn w:val="18"/>
    <w:qFormat/>
    <w:uiPriority w:val="0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18"/>
    <w:qFormat/>
    <w:uiPriority w:val="0"/>
    <w:rPr>
      <w:rFonts w:ascii="Arial" w:hAnsi="Arial" w:eastAsia="Arial" w:cs="Arial"/>
      <w:sz w:val="34"/>
    </w:rPr>
  </w:style>
  <w:style w:type="character" w:customStyle="1" w:styleId="46">
    <w:name w:val="Heading 3 Char"/>
    <w:basedOn w:val="18"/>
    <w:qFormat/>
    <w:uiPriority w:val="0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18"/>
    <w:qFormat/>
    <w:uiPriority w:val="0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18"/>
    <w:qFormat/>
    <w:uiPriority w:val="0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18"/>
    <w:qFormat/>
    <w:uiPriority w:val="0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18"/>
    <w:qFormat/>
    <w:uiPriority w:val="0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18"/>
    <w:qFormat/>
    <w:uiPriority w:val="0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18"/>
    <w:qFormat/>
    <w:uiPriority w:val="0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18"/>
    <w:qFormat/>
    <w:uiPriority w:val="0"/>
    <w:rPr>
      <w:sz w:val="48"/>
      <w:szCs w:val="48"/>
    </w:rPr>
  </w:style>
  <w:style w:type="character" w:customStyle="1" w:styleId="54">
    <w:name w:val="Subtitle Char"/>
    <w:basedOn w:val="18"/>
    <w:qFormat/>
    <w:uiPriority w:val="0"/>
    <w:rPr>
      <w:sz w:val="24"/>
      <w:szCs w:val="24"/>
    </w:rPr>
  </w:style>
  <w:style w:type="character" w:customStyle="1" w:styleId="55">
    <w:name w:val="Quote Char"/>
    <w:qFormat/>
    <w:uiPriority w:val="0"/>
    <w:rPr>
      <w:i/>
    </w:rPr>
  </w:style>
  <w:style w:type="character" w:customStyle="1" w:styleId="56">
    <w:name w:val="Intense Quote Char"/>
    <w:qFormat/>
    <w:uiPriority w:val="0"/>
    <w:rPr>
      <w:i/>
    </w:rPr>
  </w:style>
  <w:style w:type="character" w:customStyle="1" w:styleId="57">
    <w:name w:val="Header Char"/>
    <w:basedOn w:val="18"/>
    <w:qFormat/>
    <w:uiPriority w:val="0"/>
  </w:style>
  <w:style w:type="character" w:customStyle="1" w:styleId="58">
    <w:name w:val="Footer Char"/>
    <w:basedOn w:val="18"/>
    <w:qFormat/>
    <w:uiPriority w:val="0"/>
  </w:style>
  <w:style w:type="character" w:customStyle="1" w:styleId="59">
    <w:name w:val="Caption Char"/>
    <w:qFormat/>
    <w:uiPriority w:val="0"/>
  </w:style>
  <w:style w:type="character" w:customStyle="1" w:styleId="60">
    <w:name w:val="Footnote Text Char"/>
    <w:qFormat/>
    <w:uiPriority w:val="0"/>
    <w:rPr>
      <w:sz w:val="18"/>
    </w:rPr>
  </w:style>
  <w:style w:type="character" w:customStyle="1" w:styleId="61">
    <w:name w:val="Endnote Text Char"/>
    <w:qFormat/>
    <w:uiPriority w:val="0"/>
    <w:rPr>
      <w:sz w:val="20"/>
    </w:rPr>
  </w:style>
  <w:style w:type="character" w:customStyle="1" w:styleId="62">
    <w:name w:val="line number1"/>
    <w:qFormat/>
    <w:uiPriority w:val="0"/>
  </w:style>
  <w:style w:type="character" w:customStyle="1" w:styleId="63">
    <w:name w:val="页脚 字符"/>
    <w:basedOn w:val="18"/>
    <w:qFormat/>
    <w:uiPriority w:val="0"/>
    <w:rPr>
      <w:rFonts w:ascii="等线" w:hAnsi="等线" w:eastAsia="等线" w:cs="Arial"/>
      <w:sz w:val="18"/>
      <w:szCs w:val="18"/>
      <w:lang w:bidi="ar-SA"/>
    </w:rPr>
  </w:style>
  <w:style w:type="character" w:customStyle="1" w:styleId="64">
    <w:name w:val="line number2"/>
    <w:qFormat/>
    <w:uiPriority w:val="0"/>
  </w:style>
  <w:style w:type="character" w:customStyle="1" w:styleId="65">
    <w:name w:val="Line Numbering1"/>
    <w:qFormat/>
    <w:uiPriority w:val="0"/>
  </w:style>
  <w:style w:type="character" w:customStyle="1" w:styleId="66">
    <w:name w:val="索引链接 (user)"/>
    <w:qFormat/>
    <w:uiPriority w:val="0"/>
  </w:style>
  <w:style w:type="character" w:customStyle="1" w:styleId="67">
    <w:name w:val="Internet Link11"/>
    <w:qFormat/>
    <w:uiPriority w:val="0"/>
    <w:rPr>
      <w:color w:val="000080"/>
      <w:u w:val="single"/>
    </w:rPr>
  </w:style>
  <w:style w:type="character" w:customStyle="1" w:styleId="68">
    <w:name w:val="Line Numbering11"/>
    <w:qFormat/>
    <w:uiPriority w:val="0"/>
  </w:style>
  <w:style w:type="character" w:customStyle="1" w:styleId="69">
    <w:name w:val="Internet Link2"/>
    <w:qFormat/>
    <w:uiPriority w:val="0"/>
    <w:rPr>
      <w:color w:val="000080"/>
      <w:u w:val="single"/>
    </w:rPr>
  </w:style>
  <w:style w:type="character" w:customStyle="1" w:styleId="70">
    <w:name w:val="Line Numbering2"/>
    <w:qFormat/>
    <w:uiPriority w:val="0"/>
  </w:style>
  <w:style w:type="character" w:customStyle="1" w:styleId="71">
    <w:name w:val="Internet Link3"/>
    <w:qFormat/>
    <w:uiPriority w:val="0"/>
    <w:rPr>
      <w:color w:val="000080"/>
      <w:u w:val="single"/>
    </w:rPr>
  </w:style>
  <w:style w:type="character" w:customStyle="1" w:styleId="72">
    <w:name w:val="Line Numbering3"/>
    <w:qFormat/>
    <w:uiPriority w:val="0"/>
  </w:style>
  <w:style w:type="character" w:customStyle="1" w:styleId="73">
    <w:name w:val="Internet Link4"/>
    <w:qFormat/>
    <w:uiPriority w:val="0"/>
    <w:rPr>
      <w:color w:val="000080"/>
      <w:u w:val="single"/>
    </w:rPr>
  </w:style>
  <w:style w:type="character" w:customStyle="1" w:styleId="74">
    <w:name w:val="Line Numbering4"/>
    <w:qFormat/>
    <w:uiPriority w:val="0"/>
  </w:style>
  <w:style w:type="character" w:customStyle="1" w:styleId="75">
    <w:name w:val="Internet Link5"/>
    <w:qFormat/>
    <w:uiPriority w:val="0"/>
    <w:rPr>
      <w:color w:val="000080"/>
      <w:u w:val="single"/>
    </w:rPr>
  </w:style>
  <w:style w:type="character" w:customStyle="1" w:styleId="76">
    <w:name w:val="Line Numbering5"/>
    <w:qFormat/>
    <w:uiPriority w:val="0"/>
  </w:style>
  <w:style w:type="character" w:customStyle="1" w:styleId="77">
    <w:name w:val="Internet Link6"/>
    <w:qFormat/>
    <w:uiPriority w:val="0"/>
    <w:rPr>
      <w:color w:val="000080"/>
      <w:u w:val="single"/>
    </w:rPr>
  </w:style>
  <w:style w:type="character" w:customStyle="1" w:styleId="78">
    <w:name w:val="Internet Link7"/>
    <w:qFormat/>
    <w:uiPriority w:val="0"/>
    <w:rPr>
      <w:color w:val="000080"/>
      <w:u w:val="single"/>
    </w:rPr>
  </w:style>
  <w:style w:type="character" w:customStyle="1" w:styleId="79">
    <w:name w:val="Line Numbering6"/>
    <w:qFormat/>
    <w:uiPriority w:val="0"/>
  </w:style>
  <w:style w:type="character" w:customStyle="1" w:styleId="80">
    <w:name w:val="Internet Link8"/>
    <w:qFormat/>
    <w:uiPriority w:val="0"/>
    <w:rPr>
      <w:color w:val="000080"/>
      <w:u w:val="single"/>
    </w:rPr>
  </w:style>
  <w:style w:type="character" w:customStyle="1" w:styleId="81">
    <w:name w:val="Line Numbering7"/>
    <w:qFormat/>
    <w:uiPriority w:val="0"/>
  </w:style>
  <w:style w:type="character" w:customStyle="1" w:styleId="82">
    <w:name w:val="Internet Link9"/>
    <w:qFormat/>
    <w:uiPriority w:val="0"/>
    <w:rPr>
      <w:color w:val="000080"/>
      <w:u w:val="single"/>
    </w:rPr>
  </w:style>
  <w:style w:type="character" w:customStyle="1" w:styleId="83">
    <w:name w:val="Line Numbering8"/>
    <w:qFormat/>
    <w:uiPriority w:val="0"/>
  </w:style>
  <w:style w:type="character" w:customStyle="1" w:styleId="84">
    <w:name w:val="Internet Link10"/>
    <w:qFormat/>
    <w:uiPriority w:val="0"/>
    <w:rPr>
      <w:color w:val="000080"/>
      <w:u w:val="single"/>
    </w:rPr>
  </w:style>
  <w:style w:type="character" w:customStyle="1" w:styleId="85">
    <w:name w:val="Line Numbering9"/>
    <w:qFormat/>
    <w:uiPriority w:val="0"/>
  </w:style>
  <w:style w:type="character" w:customStyle="1" w:styleId="86">
    <w:name w:val="Internet Link12"/>
    <w:qFormat/>
    <w:uiPriority w:val="0"/>
    <w:rPr>
      <w:color w:val="000080"/>
      <w:u w:val="single"/>
    </w:rPr>
  </w:style>
  <w:style w:type="character" w:customStyle="1" w:styleId="87">
    <w:name w:val="Line Numbering10"/>
    <w:qFormat/>
    <w:uiPriority w:val="0"/>
  </w:style>
  <w:style w:type="character" w:customStyle="1" w:styleId="88">
    <w:name w:val="索引链接"/>
    <w:qFormat/>
    <w:uiPriority w:val="0"/>
  </w:style>
  <w:style w:type="paragraph" w:customStyle="1" w:styleId="89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90">
    <w:name w:val="标题样式 (user)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9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92">
    <w:name w:val="标题 1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customStyle="1" w:styleId="93">
    <w:name w:val="标题 21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customStyle="1" w:styleId="94">
    <w:name w:val="标题 31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customStyle="1" w:styleId="95">
    <w:name w:val="标题 41"/>
    <w:basedOn w:val="1"/>
    <w:qFormat/>
    <w:uiPriority w:val="0"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customStyle="1" w:styleId="96">
    <w:name w:val="标题 51"/>
    <w:basedOn w:val="1"/>
    <w:qFormat/>
    <w:uiPriority w:val="0"/>
    <w:pPr>
      <w:keepNext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customStyle="1" w:styleId="97">
    <w:name w:val="标题 61"/>
    <w:basedOn w:val="1"/>
    <w:qFormat/>
    <w:uiPriority w:val="0"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customStyle="1" w:styleId="98">
    <w:name w:val="标题 71"/>
    <w:basedOn w:val="1"/>
    <w:qFormat/>
    <w:uiPriority w:val="0"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customStyle="1" w:styleId="99">
    <w:name w:val="标题 81"/>
    <w:basedOn w:val="1"/>
    <w:qFormat/>
    <w:uiPriority w:val="0"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customStyle="1" w:styleId="100">
    <w:name w:val="标题 91"/>
    <w:basedOn w:val="1"/>
    <w:qFormat/>
    <w:uiPriority w:val="0"/>
    <w:pPr>
      <w:keepNext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customStyle="1" w:styleId="101">
    <w:name w:val="题注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2">
    <w:name w:val="TOC 11"/>
    <w:basedOn w:val="1"/>
    <w:next w:val="1"/>
    <w:qFormat/>
    <w:uiPriority w:val="0"/>
    <w:pPr>
      <w:spacing w:before="0" w:after="57" w:line="480" w:lineRule="auto"/>
    </w:pPr>
  </w:style>
  <w:style w:type="paragraph" w:customStyle="1" w:styleId="103">
    <w:name w:val="TOC 21"/>
    <w:basedOn w:val="1"/>
    <w:next w:val="1"/>
    <w:qFormat/>
    <w:uiPriority w:val="0"/>
    <w:pPr>
      <w:spacing w:before="0" w:after="57" w:line="480" w:lineRule="auto"/>
    </w:pPr>
  </w:style>
  <w:style w:type="paragraph" w:customStyle="1" w:styleId="104">
    <w:name w:val="caption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5">
    <w:name w:val="List Paragraph"/>
    <w:basedOn w:val="1"/>
    <w:qFormat/>
    <w:uiPriority w:val="0"/>
    <w:pPr>
      <w:spacing w:before="0" w:after="0"/>
      <w:contextualSpacing/>
    </w:pPr>
  </w:style>
  <w:style w:type="paragraph" w:styleId="106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07">
    <w:name w:val="Quote"/>
    <w:basedOn w:val="1"/>
    <w:qFormat/>
    <w:uiPriority w:val="0"/>
    <w:rPr>
      <w:i/>
    </w:rPr>
  </w:style>
  <w:style w:type="paragraph" w:styleId="108">
    <w:name w:val="Intense Quote"/>
    <w:basedOn w:val="1"/>
    <w:qFormat/>
    <w:uiPriority w:val="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</w:pPr>
    <w:rPr>
      <w:i/>
    </w:rPr>
  </w:style>
  <w:style w:type="paragraph" w:customStyle="1" w:styleId="109">
    <w:name w:val="脚注文本1"/>
    <w:basedOn w:val="1"/>
    <w:qFormat/>
    <w:uiPriority w:val="0"/>
    <w:pPr>
      <w:spacing w:before="0" w:after="40"/>
    </w:pPr>
    <w:rPr>
      <w:sz w:val="18"/>
    </w:rPr>
  </w:style>
  <w:style w:type="paragraph" w:customStyle="1" w:styleId="110">
    <w:name w:val="尾注文本1"/>
    <w:basedOn w:val="1"/>
    <w:qFormat/>
    <w:uiPriority w:val="0"/>
    <w:rPr>
      <w:sz w:val="20"/>
    </w:rPr>
  </w:style>
  <w:style w:type="paragraph" w:customStyle="1" w:styleId="111">
    <w:name w:val="TOC 31"/>
    <w:basedOn w:val="1"/>
    <w:qFormat/>
    <w:uiPriority w:val="0"/>
    <w:pPr>
      <w:spacing w:before="0" w:after="57"/>
    </w:pPr>
  </w:style>
  <w:style w:type="paragraph" w:customStyle="1" w:styleId="112">
    <w:name w:val="TOC 41"/>
    <w:basedOn w:val="1"/>
    <w:qFormat/>
    <w:uiPriority w:val="0"/>
    <w:pPr>
      <w:spacing w:before="0" w:after="57"/>
    </w:pPr>
  </w:style>
  <w:style w:type="paragraph" w:customStyle="1" w:styleId="113">
    <w:name w:val="TOC 51"/>
    <w:basedOn w:val="1"/>
    <w:qFormat/>
    <w:uiPriority w:val="0"/>
    <w:pPr>
      <w:spacing w:before="0" w:after="57"/>
    </w:pPr>
  </w:style>
  <w:style w:type="paragraph" w:customStyle="1" w:styleId="114">
    <w:name w:val="TOC 61"/>
    <w:basedOn w:val="1"/>
    <w:qFormat/>
    <w:uiPriority w:val="0"/>
    <w:pPr>
      <w:spacing w:before="0" w:after="57"/>
    </w:pPr>
  </w:style>
  <w:style w:type="paragraph" w:customStyle="1" w:styleId="115">
    <w:name w:val="TOC 71"/>
    <w:basedOn w:val="1"/>
    <w:qFormat/>
    <w:uiPriority w:val="0"/>
    <w:pPr>
      <w:spacing w:before="0" w:after="57"/>
    </w:pPr>
  </w:style>
  <w:style w:type="paragraph" w:customStyle="1" w:styleId="116">
    <w:name w:val="TOC 81"/>
    <w:basedOn w:val="1"/>
    <w:qFormat/>
    <w:uiPriority w:val="0"/>
    <w:pPr>
      <w:spacing w:before="0" w:after="57"/>
    </w:pPr>
  </w:style>
  <w:style w:type="paragraph" w:customStyle="1" w:styleId="117">
    <w:name w:val="TOC 91"/>
    <w:basedOn w:val="1"/>
    <w:qFormat/>
    <w:uiPriority w:val="0"/>
    <w:pPr>
      <w:spacing w:before="0" w:after="57"/>
    </w:pPr>
  </w:style>
  <w:style w:type="paragraph" w:customStyle="1" w:styleId="118">
    <w:name w:val="index heading1"/>
    <w:basedOn w:val="11"/>
    <w:qFormat/>
    <w:uiPriority w:val="0"/>
  </w:style>
  <w:style w:type="paragraph" w:customStyle="1" w:styleId="119">
    <w:name w:val="索引标题1"/>
    <w:basedOn w:val="11"/>
    <w:qFormat/>
    <w:uiPriority w:val="0"/>
  </w:style>
  <w:style w:type="paragraph" w:customStyle="1" w:styleId="120">
    <w:name w:val="TOC 标题1"/>
    <w:qFormat/>
    <w:uiPriority w:val="0"/>
    <w:pPr>
      <w:widowControl/>
      <w:suppressAutoHyphens/>
      <w:bidi w:val="0"/>
      <w:spacing w:before="0" w:after="0" w:line="480" w:lineRule="auto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121">
    <w:name w:val="图表目录1"/>
    <w:basedOn w:val="1"/>
    <w:qFormat/>
    <w:uiPriority w:val="0"/>
  </w:style>
  <w:style w:type="paragraph" w:customStyle="1" w:styleId="122">
    <w:name w:val="caption1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3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2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25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6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7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8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9">
    <w:name w:val="修订5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0">
    <w:name w:val="修订6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1">
    <w:name w:val="修订7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2">
    <w:name w:val="修订8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3">
    <w:name w:val="修订9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4">
    <w:name w:val="修订10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5">
    <w:name w:val="修订11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6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7">
    <w:name w:val="页眉与页脚 (user)"/>
    <w:basedOn w:val="1"/>
    <w:qFormat/>
    <w:uiPriority w:val="0"/>
  </w:style>
  <w:style w:type="paragraph" w:customStyle="1" w:styleId="138">
    <w:name w:val="TOC Heading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20561</Words>
  <Characters>20580</Characters>
  <Paragraphs>214</Paragraphs>
  <TotalTime>0</TotalTime>
  <ScaleCrop>false</ScaleCrop>
  <LinksUpToDate>false</LinksUpToDate>
  <CharactersWithSpaces>20593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cp:lastModifiedBy>爱思考的人</cp:lastModifiedBy>
  <dcterms:modified xsi:type="dcterms:W3CDTF">2025-07-11T12:30:13Z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