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52"/>
          <w:szCs w:val="52"/>
        </w:rPr>
      </w:pPr>
      <w:r>
        <w:rPr>
          <w:rFonts w:eastAsia="国标宋体" w:cs="新宋体" w:ascii="国标宋体" w:hAnsi="国标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国标宋体" w:hAnsi="国标宋体" w:eastAsia="国标宋体"/>
        </w:rPr>
      </w:pPr>
      <w:bookmarkStart w:id="0" w:name="__RefHeading___Toc715_2313366074"/>
      <w:bookmarkStart w:id="1" w:name="_Toc322781518"/>
      <w:bookmarkStart w:id="2" w:name="_Toc71289527"/>
      <w:bookmarkStart w:id="3" w:name="_Toc861227713"/>
      <w:bookmarkStart w:id="4" w:name="_Toc56891707"/>
      <w:bookmarkStart w:id="5" w:name="_Toc56891718"/>
      <w:bookmarkEnd w:id="0"/>
      <w:r>
        <w:rPr>
          <w:rFonts w:ascii="国标宋体" w:hAnsi="国标宋体" w:eastAsia="国标宋体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国标宋体" w:hAnsi="国标宋体" w:eastAsia="国标宋体"/>
        </w:rPr>
      </w:pPr>
      <w:bookmarkStart w:id="6" w:name="__RefHeading___Toc717_2313366074"/>
      <w:bookmarkStart w:id="7" w:name="_Toc384121870"/>
      <w:bookmarkStart w:id="8" w:name="_Toc822270494"/>
      <w:bookmarkStart w:id="9" w:name="_Toc8187804"/>
      <w:bookmarkStart w:id="10" w:name="_Toc56891708"/>
      <w:bookmarkStart w:id="11" w:name="_Toc56891719"/>
      <w:bookmarkEnd w:id="6"/>
      <w:r>
        <w:rPr>
          <w:rFonts w:ascii="国标宋体" w:hAnsi="国标宋体" w:eastAsia="国标宋体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夫道、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（指遵道而行而有所得）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（遵循）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万物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不知其所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由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（遵从；遵照）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慈惠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（犹仁爱）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恻隐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履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贤人君子，明于盛衰之道，通乎成败之数，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（审，谓详观其道也）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乎治乱之势，达乎去就之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（顺序、层次）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2" w:name="__RefHeading___Toc719_2313366074"/>
      <w:bookmarkStart w:id="13" w:name="_Toc1758859752"/>
      <w:bookmarkStart w:id="14" w:name="_Toc1595276241"/>
      <w:bookmarkStart w:id="15" w:name="_Toc1753829687"/>
      <w:bookmarkStart w:id="16" w:name="_Toc56891709"/>
      <w:bookmarkStart w:id="17" w:name="_Toc56891720"/>
      <w:bookmarkEnd w:id="12"/>
      <w:r>
        <w:rPr>
          <w:rFonts w:ascii="国标宋体" w:hAnsi="国标宋体" w:eastAsia="国标宋体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德足以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（安，安抚）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远，信足以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异，义足以得众，才足以鉴古，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（察知，明白）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下，此人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品德足以安抚边远，诚信足以统一异议，正义足以获得拥戴，才识足以借鉴历史，聪慧足以体察下情，这样的人是人中才俊！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行足以为仪表，智足以决嫌疑，信可以使守约，廉可以使分财，此人之豪也！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行为足以成为表率，智谋足以决断嫌疑，诚信可以信守约定，廉洁可以分配财物，这样的人是人中之豪！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守职而不废，处义而不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，见嫌而不苟免，见利而不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苟得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恪尽职守而不废弛，坚守道义而不违背，遇猜疑不苟且免于损害，遇利益不会不义而得，这样的人是人中之杰！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8" w:name="__RefHeading___Toc721_2313366074"/>
      <w:bookmarkStart w:id="19" w:name="_Toc1470619721"/>
      <w:bookmarkStart w:id="20" w:name="_Toc1771762751"/>
      <w:bookmarkStart w:id="21" w:name="_Toc2042031548"/>
      <w:bookmarkStart w:id="22" w:name="_Toc56891710"/>
      <w:bookmarkStart w:id="23" w:name="_Toc56891721"/>
      <w:bookmarkEnd w:id="18"/>
      <w:r>
        <w:rPr>
          <w:rFonts w:ascii="国标宋体" w:hAnsi="国标宋体" w:eastAsia="国标宋体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绝嗜禁欲，所以除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（负担）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（不对；错误）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损恶，所以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禳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ráng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过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贬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（减、损）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酒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阙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jué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，去除）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（疑也）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（不信，猜度）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，所以不误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（误，谬也）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。博学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切问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（恳切求教）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，所以广知。高行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（帮助、辅佐）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（陨坠，覆亡）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笃行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（接，交也）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人。任材使能，所以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（成就）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（憎恨）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推古验今，所以不惑。先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（揣测、审度）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（图谋，谋划）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，所以应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。设变致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（权宜、变通）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（关键）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括囊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（机会，时机）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，所以无咎。橛橛梗梗，所以立功。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孜孜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（勤勉；不懈怠）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淑淑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24" w:name="__RefHeading___Toc723_2313366074"/>
      <w:bookmarkStart w:id="25" w:name="_Toc1919714699"/>
      <w:bookmarkStart w:id="26" w:name="_Toc853852717"/>
      <w:bookmarkStart w:id="27" w:name="_Toc89629209"/>
      <w:bookmarkStart w:id="28" w:name="_Toc56891711"/>
      <w:bookmarkStart w:id="29" w:name="_Toc56891722"/>
      <w:bookmarkEnd w:id="24"/>
      <w:r>
        <w:rPr>
          <w:rFonts w:ascii="国标宋体" w:hAnsi="国标宋体" w:eastAsia="国标宋体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（亲身经验）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慧的莫过于体察事物，最为吉祥的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苦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（痛苦；困苦）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莫苦于多愿，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悲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（可悲）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莫悲于精散，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病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莫病于无常，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短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莫短于苟得，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（昏暗；阴暗）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30" w:name="__RefHeading___Toc725_2313366074"/>
      <w:bookmarkStart w:id="31" w:name="_Toc275868257"/>
      <w:bookmarkStart w:id="32" w:name="_Toc1814289545"/>
      <w:bookmarkStart w:id="33" w:name="_Toc998575240"/>
      <w:bookmarkStart w:id="34" w:name="_Toc56891712"/>
      <w:bookmarkStart w:id="35" w:name="_Toc56891723"/>
      <w:bookmarkEnd w:id="30"/>
      <w:r>
        <w:rPr>
          <w:rFonts w:ascii="国标宋体" w:hAnsi="国标宋体" w:eastAsia="国标宋体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以明示下者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暗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（愚昧，糊涂）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，有过不知者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（欺骗，隐瞒）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。迷而不返者惑，以言取怨者祸。令与心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（违背，不合）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者废，后令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（缪戾；违背）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敬者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。貌合心离者孤，亲谗远忠者亡。近色远贤者昏，女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yè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，禀告、说明）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以聪明示下者，是愚昧的；有过错而不自知者，会被蒙蔽。陷入迷途而不知返者，会陷入困惑；因言语不当招致怨恨者，会招来祸患。命令与内心相违背者，命令会荒废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略己而责人者不治，自厚而薄人者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（抛弃不用）。</w:t>
      </w:r>
      <w:r>
        <w:rPr>
          <w:rFonts w:ascii="国标宋体" w:hAnsi="国标宋体" w:cs="仿宋" w:eastAsia="国标宋体"/>
          <w:kern w:val="2"/>
          <w:sz w:val="24"/>
          <w:szCs w:val="24"/>
        </w:rPr>
        <w:t>以过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（舍去，扔掉）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功者损，群下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（疏远）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（分开）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者沦。既用不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者疏，行赏吝色者沮，多许少与者怨，既迎而拒者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正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（正直，正派）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（危也）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用人者不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（顺从，驯服）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，为人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官者乱。失其所强者弱，决策于不仁者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（艰难；困难）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走向沦亡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战士贫、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游士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（指战国时的说客）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富者衰，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（货，财也）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赂公行者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（愚昧；糊涂）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（昏暗不明）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。牧人以德者集，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（纠正）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</w:t>
      </w:r>
      <w:bookmarkStart w:id="36" w:name="__DdeLink__1867_2916535591"/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国标宋体" w:hAnsi="国标宋体" w:cs="仿宋" w:eastAsia="国标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（残忍、暴虐）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残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（残，伤也）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37" w:name="__DdeLink__1869_2916535591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40" w:name="__RefHeading___Toc727_2313366074"/>
      <w:bookmarkStart w:id="41" w:name="_Toc772931798"/>
      <w:bookmarkStart w:id="42" w:name="_Toc310420694"/>
      <w:bookmarkStart w:id="43" w:name="_Toc290866600"/>
      <w:bookmarkStart w:id="44" w:name="_Toc56891713"/>
      <w:bookmarkStart w:id="45" w:name="_Toc56891724"/>
      <w:bookmarkEnd w:id="40"/>
      <w:r>
        <w:rPr>
          <w:rFonts w:ascii="国标宋体" w:hAnsi="国标宋体" w:eastAsia="国标宋体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怨在不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小过，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患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豫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（同“预”）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迎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来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士无正友，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曲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（不正的、偏邪的）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上无直下。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危国无贤人，乱政无善人。爱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（民，百姓）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危机四伏的国家，没有贤人（参与）；政治混乱的朝廷，没有善人（参与）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山峭者崩，泽满者溢。弃玉取石者盲，羊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山势过于陡峭者，容易崩塌；水泽过于盈满者，容易漫溢。丢弃美玉却捡取石头者，和瞎子一样；绵羊的禀性却披上虎皮者，会被羞辱。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衣不举领者倒，走不视地者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失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（过错，错误）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46" w:name="__DdeLink__1962_604787568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发生失误者，要谨慎防止重蹈覆辙；厌恶他人某种行为者，要避免采取类似的做法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同志相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（妨碍，妨害）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，同利相忌；同声相应，同气相感；同类相依，同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（善；美）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相亲；同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  <w:lang w:val="en-US" w:eastAsia="zh-CN" w:bidi="ar-SA"/>
        </w:rPr>
        <w:t>nàn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，灾难；祸害，人为而产生的祸害）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相济，同道相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成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；同艺相窥，同巧相胜。此乃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（规律；法则）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（演算产生结果）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释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（释放；赦免）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国标宋体" w:hAnsi="国标宋体" w:eastAsia="国标宋体"/>
        </w:rPr>
      </w:pPr>
      <w:bookmarkStart w:id="47" w:name="__RefHeading___Toc729_2313366074"/>
      <w:bookmarkStart w:id="48" w:name="_Toc1962296066"/>
      <w:bookmarkStart w:id="49" w:name="_Toc1587761966"/>
      <w:bookmarkStart w:id="50" w:name="_Toc2035579937"/>
      <w:bookmarkStart w:id="51" w:name="_Toc56891714"/>
      <w:bookmarkStart w:id="52" w:name="_Toc56891725"/>
      <w:bookmarkEnd w:id="47"/>
      <w:r>
        <w:rPr>
          <w:rFonts w:ascii="国标宋体" w:hAnsi="国标宋体" w:eastAsia="国标宋体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国标宋体" w:hAnsi="国标宋体" w:eastAsia="国标宋体"/>
        </w:rPr>
      </w:pPr>
      <w:bookmarkStart w:id="53" w:name="__RefHeading___Toc731_2313366074"/>
      <w:bookmarkStart w:id="54" w:name="_Toc538174901"/>
      <w:bookmarkStart w:id="55" w:name="_Toc1351530871"/>
      <w:bookmarkStart w:id="56" w:name="_Toc2075154971"/>
      <w:bookmarkStart w:id="57" w:name="_Toc56891715"/>
      <w:bookmarkStart w:id="58" w:name="_Toc56891726"/>
      <w:bookmarkEnd w:id="53"/>
      <w:r>
        <w:rPr>
          <w:rFonts w:ascii="国标宋体" w:hAnsi="国标宋体" w:eastAsia="国标宋体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（靡，无也）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（全，都）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也。弱者人之所助，强者怨之所攻。柔有所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，刚有所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；弱有所用，强有所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（益处；好处）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端末未见，人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能知。天地神明，与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推移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，变动无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（规则，规律）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。因敌转化，不为事先，动而辄随。故能图制无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（极限、止境）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，扶成天威，匡正八极，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mǐ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（审察；查核）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（还原，使如前）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敌动伺之，敌近备之，敌强下之，敌佚去之，敌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待之，敌暴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suí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之，敌悖义之，敌睦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得而勿有，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（积蓄，储存）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（选择；选定）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（天下；世间）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（崇尚，效法）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（嬉戏，玩乐）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（给予俸禄）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（向来；从来就）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蓄，谋素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（和，相应也）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则不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（废黜；废除）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《军谶》曰：贤者所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（归向）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（标明；标出）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负薪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（指地位低微的人）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hAnsi="国标宋体" w:cs="仿宋" w:eastAsia="国标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（式，法也）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（会各；聚会）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（教导）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其所死，则所求者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（到达、来到）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（衰减）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（亲身，亲自）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（打柴，砍柴）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（割草；取草）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cuàn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，烧火做饭）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（害，伤害）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《军谶》曰：内贪外廉，诈誉取名，窃公为恩，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讪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(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)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种德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（犹布德。施恩德于人）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（以，用也）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《军谶》曰：吏多民寡，尊卑相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（同，相当）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，强弱相虏，莫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guā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，适，疾也。迅速）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禁御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（禁止；制止）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（喜好、喜愛）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善不进，恶恶不退，贤者隐蔽，不肖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在位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,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现也指当政）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《军谶》曰：“枝叶强大，比周居势，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（轻视，小看）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《军谶》曰：佞臣在上，一军皆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（谴责）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功。诽谤盛德，诬述庸庸。无善无恶，皆与己同。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jī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，稽，留止也）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留行事，命令不通。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造作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（伪造）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《军谶》曰：奸雄相称，障蔽主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（视觉、目力）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故主察异言，乃睹其萌。主聘儒贤，奸雄乃遁；主任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旧齿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（耆旧；老臣，旧臣）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59" w:name="__RefHeading___Toc733_2313366074"/>
      <w:bookmarkStart w:id="60" w:name="_Toc384967635"/>
      <w:bookmarkStart w:id="61" w:name="_Toc1071377024"/>
      <w:bookmarkStart w:id="62" w:name="_Toc552071664"/>
      <w:bookmarkStart w:id="63" w:name="_Toc56891716"/>
      <w:bookmarkStart w:id="64" w:name="_Toc56891727"/>
      <w:bookmarkEnd w:id="59"/>
      <w:r>
        <w:rPr>
          <w:rFonts w:ascii="国标宋体" w:hAnsi="国标宋体" w:eastAsia="国标宋体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夫三皇无言而化流四海，故天下无所归功。帝者，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（相承；继承）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则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（仿效，效法）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（学说；主张）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（令，发号也）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（美，甘也）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而无害。王者，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（可、能够）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《军势》曰：“出军行师，将在自专；进退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（希求，谋求）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巫祝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《军势》说：“使用侠义之士不能依靠钱财。”因此侠义之士不会为不仁义的人去效死，智谋之士不会为昏聩的君主出谋划策。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方伯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（施加；强加）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权变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。故非计策无以决嫌定疑；非谲奇无以破奸息寇；非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阴谋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（暗中策划）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圣人体天，贤者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（仿效；模仿）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（标举、标示）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成败；《中略》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（分別、区分）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德行，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（详究，考察）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治国之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（古同“悦”）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65" w:name="__RefHeading___Toc735_2313366074"/>
      <w:bookmarkStart w:id="66" w:name="_Toc2100530062"/>
      <w:bookmarkStart w:id="67" w:name="_Toc45592680"/>
      <w:bookmarkStart w:id="68" w:name="_Toc182539758"/>
      <w:bookmarkStart w:id="69" w:name="_Toc56891717"/>
      <w:bookmarkStart w:id="70" w:name="_Toc56891728"/>
      <w:bookmarkEnd w:id="65"/>
      <w:r>
        <w:rPr>
          <w:rFonts w:ascii="国标宋体" w:hAnsi="国标宋体" w:eastAsia="国标宋体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夫能扶天下之危者，则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据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（统一、齐一）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贤以德，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圣以道。贤去，则国微；圣去，则国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（分离）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贤人之政，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都邑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（城市）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释近谋远者，劳而无功；释远谋近者，佚而有终。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赦免自己而去教训他人的（人）会逆反；先端正自己再去教化他人的（人）会顺服。他人逆反是招致祸乱的根源，他人顺服是治理国家的关键。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千里之外去迎聘贤人，路途十分遥远；招引奸邪之徒，路途却很近便。所以聪慧的君王舍近而取远，因而能保全功业；尊尚贤人，能够使属下尽力。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从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清白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慧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夫圣人君子，明盛衰之源，通成败之端，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治乱之机，知去就之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（时期）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（浇灌）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（小火、火把）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火，临不测而挤欲堕，其克必矣。所以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优游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hAnsi="国标宋体" w:cs="仿宋" w:eastAsia="国标宋体"/>
          <w:color w:val="808080"/>
          <w:kern w:val="2"/>
          <w:sz w:val="24"/>
          <w:szCs w:val="24"/>
        </w:rPr>
        <w:t>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恬淡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而不进者，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（慎重、谨慎）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豪杰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大臣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（类似；好像）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尾注符"/>
    <w:qFormat/>
    <w:rPr>
      <w:vertAlign w:val="superscript"/>
    </w:rPr>
  </w:style>
  <w:style w:type="character" w:styleId="user">
    <w:name w:val="尾注符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Style12">
    <w:name w:val="脚注符"/>
    <w:qFormat/>
    <w:rPr>
      <w:vertAlign w:val="superscript"/>
    </w:rPr>
  </w:style>
  <w:style w:type="character" w:styleId="user1">
    <w:name w:val="脚注符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Style14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InternetLink9">
    <w:name w:val="Internet Link9"/>
    <w:qFormat/>
    <w:rPr>
      <w:color w:val="000080"/>
      <w:u w:val="single"/>
    </w:rPr>
  </w:style>
  <w:style w:type="character" w:styleId="LineNumbering8">
    <w:name w:val="Line Numbering8"/>
    <w:qFormat/>
    <w:rPr/>
  </w:style>
  <w:style w:type="character" w:styleId="InternetLink10">
    <w:name w:val="Internet Link10"/>
    <w:qFormat/>
    <w:rPr>
      <w:color w:val="000080"/>
      <w:u w:val="single"/>
    </w:rPr>
  </w:style>
  <w:style w:type="character" w:styleId="LineNumbering9">
    <w:name w:val="Line Numbering9"/>
    <w:qFormat/>
    <w:rPr/>
  </w:style>
  <w:style w:type="character" w:styleId="InternetLink12">
    <w:name w:val="Internet Link12"/>
    <w:qFormat/>
    <w:rPr>
      <w:color w:val="000080"/>
      <w:u w:val="single"/>
    </w:rPr>
  </w:style>
  <w:style w:type="character" w:styleId="LineNumbering10">
    <w:name w:val="Line Numbering1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2">
    <w:name w:val="索引链接 (user)"/>
    <w:qFormat/>
    <w:rPr/>
  </w:style>
  <w:style w:type="paragraph" w:styleId="Style15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Lucida Sans"/>
    </w:rPr>
  </w:style>
  <w:style w:type="paragraph" w:styleId="user3" w:customStyle="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user4" w:customStyle="1">
    <w:name w:val="索引 (user)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user3"/>
    <w:qFormat/>
    <w:pPr/>
    <w:rPr/>
  </w:style>
  <w:style w:type="paragraph" w:styleId="14" w:customStyle="1">
    <w:name w:val="索引标题1"/>
    <w:basedOn w:val="user3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5" w:customStyle="1">
    <w:name w:val="页眉与页脚 (user)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Style17">
    <w:name w:val="页眉与页脚"/>
    <w:basedOn w:val="Normal"/>
    <w:qFormat/>
    <w:pPr/>
    <w:rPr/>
  </w:style>
  <w:style w:type="paragraph" w:styleId="Footer">
    <w:name w:val="footer"/>
    <w:basedOn w:val="user5"/>
    <w:pPr/>
    <w:rPr/>
  </w:style>
  <w:style w:type="paragraph" w:styleId="IndexHeading">
    <w:name w:val="index heading"/>
    <w:basedOn w:val="user3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LibreOffice/25.2.4.3$Linux_X86_64 LibreOffice_project/520$Build-3</Application>
  <AppVersion>15.0000</AppVersion>
  <Pages>19</Pages>
  <Words>20530</Words>
  <Characters>20605</Characters>
  <CharactersWithSpaces>20632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2025-07-02T20:37:05Z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