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12</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15</w:t>
            </w:r>
          </w:hyperlink>
        </w:p>
        <w:p>
          <w:pPr>
            <w:pStyle w:val="TOC1"/>
            <w:tabs>
              <w:tab w:val="clear" w:pos="9740"/>
              <w:tab w:val="right" w:pos="9739" w:leader="dot"/>
            </w:tabs>
            <w:rPr/>
          </w:pPr>
          <w:hyperlink w:anchor="__RefHeading___Toc2328_1773610119">
            <w:r>
              <w:rPr>
                <w:rStyle w:val="Style12"/>
              </w:rPr>
              <w:t>决篇</w:t>
            </w:r>
            <w:r>
              <w:rPr>
                <w:rStyle w:val="Style12"/>
              </w:rPr>
              <w:tab/>
              <w:t>17</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19</w:t>
            </w:r>
          </w:hyperlink>
        </w:p>
        <w:p>
          <w:pPr>
            <w:pStyle w:val="TOC1"/>
            <w:tabs>
              <w:tab w:val="clear" w:pos="9740"/>
              <w:tab w:val="right" w:pos="9739" w:leader="dot"/>
            </w:tabs>
            <w:rPr/>
          </w:pPr>
          <w:hyperlink w:anchor="__RefHeading___Toc2334_1773610119">
            <w:r>
              <w:rPr>
                <w:rStyle w:val="Style12"/>
              </w:rPr>
              <w:t>却乱</w:t>
            </w:r>
            <w:r>
              <w:rPr>
                <w:rStyle w:val="Style12"/>
              </w:rPr>
              <w:tab/>
              <w:t>20</w:t>
            </w:r>
          </w:hyperlink>
        </w:p>
        <w:p>
          <w:pPr>
            <w:pStyle w:val="TOC1"/>
            <w:tabs>
              <w:tab w:val="clear" w:pos="9740"/>
              <w:tab w:val="right" w:pos="9739" w:leader="dot"/>
            </w:tabs>
            <w:rPr/>
          </w:pPr>
          <w:hyperlink w:anchor="__RefHeading___Toc2336_1773610119">
            <w:r>
              <w:rPr>
                <w:rStyle w:val="Style12"/>
              </w:rPr>
              <w:t>盛神法五龙</w:t>
            </w:r>
            <w:r>
              <w:rPr>
                <w:rStyle w:val="Style12"/>
              </w:rPr>
              <w:tab/>
              <w:t>21</w:t>
            </w:r>
          </w:hyperlink>
        </w:p>
        <w:p>
          <w:pPr>
            <w:pStyle w:val="TOC1"/>
            <w:tabs>
              <w:tab w:val="clear" w:pos="9740"/>
              <w:tab w:val="right" w:pos="9739" w:leader="dot"/>
            </w:tabs>
            <w:rPr/>
          </w:pPr>
          <w:hyperlink w:anchor="__RefHeading___Toc2338_1773610119">
            <w:r>
              <w:rPr>
                <w:rStyle w:val="Style12"/>
              </w:rPr>
              <w:t>养志法灵龟</w:t>
            </w:r>
            <w:r>
              <w:rPr>
                <w:rStyle w:val="Style12"/>
              </w:rPr>
              <w:tab/>
              <w:t>22</w:t>
            </w:r>
          </w:hyperlink>
        </w:p>
        <w:p>
          <w:pPr>
            <w:pStyle w:val="TOC1"/>
            <w:tabs>
              <w:tab w:val="clear" w:pos="9740"/>
              <w:tab w:val="right" w:pos="9739" w:leader="dot"/>
            </w:tabs>
            <w:rPr/>
          </w:pPr>
          <w:hyperlink w:anchor="__RefHeading___Toc2340_1773610119">
            <w:r>
              <w:rPr>
                <w:rStyle w:val="Style12"/>
              </w:rPr>
              <w:t>实意法螣蛇</w:t>
            </w:r>
            <w:r>
              <w:rPr>
                <w:rStyle w:val="Style12"/>
              </w:rPr>
              <w:tab/>
              <w:t>23</w:t>
            </w:r>
          </w:hyperlink>
        </w:p>
        <w:p>
          <w:pPr>
            <w:pStyle w:val="TOC1"/>
            <w:tabs>
              <w:tab w:val="clear" w:pos="9740"/>
              <w:tab w:val="right" w:pos="9739" w:leader="dot"/>
            </w:tabs>
            <w:rPr/>
          </w:pPr>
          <w:hyperlink w:anchor="__RefHeading___Toc2342_1773610119">
            <w:r>
              <w:rPr>
                <w:rStyle w:val="Style12"/>
              </w:rPr>
              <w:t>分威法伏熊</w:t>
            </w:r>
            <w:r>
              <w:rPr>
                <w:rStyle w:val="Style12"/>
              </w:rPr>
              <w:tab/>
              <w:t>24</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25</w:t>
            </w:r>
          </w:hyperlink>
        </w:p>
        <w:p>
          <w:pPr>
            <w:pStyle w:val="TOC1"/>
            <w:tabs>
              <w:tab w:val="clear" w:pos="9740"/>
              <w:tab w:val="right" w:pos="9739" w:leader="dot"/>
            </w:tabs>
            <w:rPr/>
          </w:pPr>
          <w:hyperlink w:anchor="__RefHeading___Toc2348_1773610119">
            <w:r>
              <w:rPr>
                <w:rStyle w:val="Style12"/>
              </w:rPr>
              <w:t>损兑法灵蓍</w:t>
            </w:r>
            <w:r>
              <w:rPr>
                <w:rStyle w:val="Style12"/>
              </w:rPr>
              <w:tab/>
              <w:t>26</w:t>
            </w:r>
          </w:hyperlink>
        </w:p>
        <w:p>
          <w:pPr>
            <w:pStyle w:val="TOC1"/>
            <w:tabs>
              <w:tab w:val="clear" w:pos="9740"/>
              <w:tab w:val="right" w:pos="9739" w:leader="dot"/>
            </w:tabs>
            <w:rPr/>
          </w:pPr>
          <w:hyperlink w:anchor="__RefHeading___Toc1620_2803666824_%25252">
            <w:r>
              <w:rPr>
                <w:rStyle w:val="Style12"/>
              </w:rPr>
              <w:t>持枢</w:t>
            </w:r>
            <w:r>
              <w:rPr>
                <w:rStyle w:val="Style12"/>
              </w:rPr>
              <w:tab/>
              <w:t>27</w:t>
            </w:r>
          </w:hyperlink>
        </w:p>
        <w:p>
          <w:pPr>
            <w:pStyle w:val="TOC1"/>
            <w:tabs>
              <w:tab w:val="clear" w:pos="9740"/>
              <w:tab w:val="right" w:pos="9739" w:leader="dot"/>
            </w:tabs>
            <w:rPr/>
          </w:pPr>
          <w:hyperlink w:anchor="__RefHeading___Toc1622_2803666824_%25252">
            <w:r>
              <w:rPr>
                <w:rStyle w:val="Style12"/>
              </w:rPr>
              <w:t>中经</w:t>
            </w:r>
            <w:r>
              <w:rPr>
                <w:rStyle w:val="Style12"/>
              </w:rPr>
              <w:tab/>
              <w:t>27</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07271697"/>
      <w:bookmarkStart w:id="2" w:name="_Toc30321428"/>
      <w:bookmarkStart w:id="3" w:name="_Toc47593226"/>
      <w:bookmarkStart w:id="4" w:name="_Toc30321382"/>
      <w:bookmarkStart w:id="5" w:name="_Toc153345581"/>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每个人的秉性特点进行管理。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取得对方的信任，将真实情况隐藏起来是为了考察对方的诚意。想知道可行不可行，就要详究并弄清楚对方的计谋，以便推究双方的异同之处。双方意见有差异时，是离是合都要等待时机，可以顺从对方先按照他的志向去办（自己则适时而动）。假若想要捭，最重要的是周详；假若想要阖，最重要的是缜密。周详和缜密要求做到密不透风、不被发现，并且要与道（规律）相符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30321383"/>
      <w:bookmarkStart w:id="8" w:name="_Toc30321429"/>
      <w:bookmarkStart w:id="9" w:name="_Toc153345582"/>
      <w:bookmarkStart w:id="10" w:name="_Toc859951715"/>
      <w:bookmarkStart w:id="11" w:name="_Toc47593227"/>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回顾过去，再来验证将来；考察历史，再来把握现在；了解对方，再来返照自己。对于动静、虚实的原理，如果不符合于当今的情况，就要反过来在前人的历史经验中探求。任何事物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透过对方的话，听他话中透露的真实想法；话中有前后矛盾或不合情理的地方，通过反驳和追问来探求其情，从其反应中必定能探求出。说话可以模仿，事物可以类比；透过象和比的手法，来观察其后要说的话。“象”就是模仿事物，“比”就是用同类的言辞来做类比。采用象、比手法皆不直说，可以在无形之中获得对方回应。用象、比之词引诱对方说话，如果和现实相符，可以获知对方的实情。其像张开网捕野兽一样，在野兽出没的地方多设一些网，伺机等侯着野兽落网。针对对方使用的方法只要合事理，对方自然会暴说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的手法来打动对方，是言辞暗合对方内心的想法，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声音相同，彼此就会产生共鸣；双方看法一致，就会心理契合，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无论用于阴或阳的情况，圆或方的事物，都可以得心应手。在对方形迹未显前，就用圆通的方式来引导对方说出实情；在对方形迹已显后，不妨用方正（已定的原则）的方式来对待对方。作为君主而言，无论提升还是罢黜属下，都可以用这种方式去掌握对方。假如事先没有原则，不能确定方法，就无法驾驭对方。做事不先准备，就是忽略了得情的规律。先确定原则和方法，再去管理对方，所实施策略不露形迹，让对方摸不透、抓不着我们的门路，这样的统治者或管理者可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30321384"/>
      <w:bookmarkStart w:id="14" w:name="_Toc1644679059"/>
      <w:bookmarkStart w:id="15" w:name="_Toc30321430"/>
      <w:bookmarkStart w:id="16" w:name="_Toc47593228"/>
      <w:bookmarkStart w:id="17" w:name="_Toc153345583"/>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1557920471"/>
      <w:bookmarkStart w:id="20" w:name="_Toc153345584"/>
      <w:bookmarkStart w:id="21" w:name="_Toc47593229"/>
      <w:bookmarkStart w:id="22" w:name="_Toc30321385"/>
      <w:bookmarkStart w:id="23" w:name="_Toc3032143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如果乱到不可以治理，就采用抵消的方式使其崩溃，然后重建一个新的秩序。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153345585"/>
      <w:bookmarkStart w:id="26" w:name="_Toc47593230"/>
      <w:bookmarkStart w:id="27" w:name="_Toc30321386"/>
      <w:bookmarkStart w:id="28" w:name="_Toc264642135"/>
      <w:bookmarkStart w:id="29" w:name="_Toc30321432"/>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47593231"/>
      <w:bookmarkStart w:id="34" w:name="_Toc1452349820"/>
      <w:bookmarkStart w:id="35" w:name="_Toc30321433"/>
      <w:bookmarkStart w:id="36" w:name="_Toc153345586"/>
      <w:bookmarkStart w:id="37" w:name="_Toc30321387"/>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388"/>
      <w:bookmarkStart w:id="41" w:name="_Toc1401013603"/>
      <w:bookmarkStart w:id="42" w:name="_Toc153345587"/>
      <w:bookmarkStart w:id="43" w:name="_Toc47593232"/>
      <w:bookmarkStart w:id="44" w:name="_Toc30321434"/>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153345588"/>
      <w:bookmarkStart w:id="47" w:name="_Toc30321435"/>
      <w:bookmarkStart w:id="48" w:name="_Toc47593233"/>
      <w:bookmarkStart w:id="49" w:name="_Toc30321389"/>
      <w:bookmarkStart w:id="50" w:name="_Toc710633081"/>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153345589"/>
      <w:bookmarkStart w:id="53" w:name="_Toc30321436"/>
      <w:bookmarkStart w:id="54" w:name="_Toc30321390"/>
      <w:bookmarkStart w:id="55" w:name="_Toc585797414"/>
      <w:bookmarkStart w:id="56" w:name="_Toc47593234"/>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30321437"/>
      <w:bookmarkStart w:id="59" w:name="_Toc30321391"/>
      <w:bookmarkStart w:id="60" w:name="_Toc47593235"/>
      <w:bookmarkStart w:id="61" w:name="_Toc1911504720"/>
      <w:bookmarkStart w:id="62" w:name="_Toc153345590"/>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就要用在一般人不能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662898066"/>
      <w:bookmarkStart w:id="65" w:name="_Toc153345591"/>
      <w:bookmarkStart w:id="66" w:name="_Toc30321392"/>
      <w:bookmarkStart w:id="67" w:name="_Toc30321438"/>
      <w:bookmarkStart w:id="68" w:name="_Toc4759323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1459315182"/>
      <w:bookmarkStart w:id="71" w:name="_Toc30321439"/>
      <w:bookmarkStart w:id="72" w:name="_Toc47593237"/>
      <w:bookmarkStart w:id="73" w:name="_Toc153345592"/>
      <w:bookmarkStart w:id="74" w:name="_Toc30321393"/>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安详、从容、端正、沉静，柔和有礼且重视安定自身，和善地与人交往并且不同他人相争，做到虚心、志向平和，对待事情能够中正。以上帮助君主居君位。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法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（治理；管理）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（恩德、恩惠）</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治理，治理产生于名分和实际中所包含的恩德，恩德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1194849932"/>
      <w:bookmarkStart w:id="79" w:name="_Toc153345593"/>
      <w:bookmarkStart w:id="80" w:name="_Toc47593238"/>
      <w:bookmarkStart w:id="81" w:name="_Toc30321394"/>
      <w:bookmarkStart w:id="82" w:name="_Toc30321440"/>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（机智巧妙）</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转丸的运用，圣智之人隐逸之。大概是因为人情与原理、顺境与逆境的变化过程中，机智巧妙寄托于无形。然而想要改变的人多，成功克服困难的人很少，所以圣智之人没有话说了。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153345594"/>
      <w:bookmarkStart w:id="86" w:name="_Toc30321395"/>
      <w:bookmarkStart w:id="87" w:name="_Toc1178546249"/>
      <w:bookmarkStart w:id="88" w:name="_Toc47593239"/>
      <w:bookmarkStart w:id="89" w:name="_Toc30321441"/>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47593242"/>
      <w:bookmarkStart w:id="92" w:name="_Toc153345597"/>
      <w:bookmarkStart w:id="93" w:name="_Toc715452631"/>
      <w:bookmarkStart w:id="94" w:name="_Toc30321442"/>
      <w:bookmarkStart w:id="95" w:name="_Toc30321396"/>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道立于一，造分天地，化成万物。这里的意思为“统一、和合”）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53345598"/>
      <w:bookmarkStart w:id="100" w:name="_Toc47593243"/>
      <w:bookmarkStart w:id="101" w:name="_Toc30321443"/>
      <w:bookmarkStart w:id="102" w:name="_Toc30321397"/>
      <w:bookmarkStart w:id="103" w:name="_Toc192592109"/>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153345599"/>
      <w:bookmarkStart w:id="106" w:name="_Toc30321398"/>
      <w:bookmarkStart w:id="107" w:name="_Toc30321444"/>
      <w:bookmarkStart w:id="108" w:name="_Toc2022631712"/>
      <w:bookmarkStart w:id="109" w:name="_Toc47593244"/>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47593245"/>
      <w:bookmarkStart w:id="112" w:name="_Toc30321399"/>
      <w:bookmarkStart w:id="113" w:name="_Toc153345600"/>
      <w:bookmarkStart w:id="114" w:name="_Toc1490294709"/>
      <w:bookmarkStart w:id="115" w:name="_Toc303214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1172803545"/>
      <w:bookmarkStart w:id="118" w:name="_Toc30321446"/>
      <w:bookmarkStart w:id="119" w:name="_Toc47593246"/>
      <w:bookmarkStart w:id="120" w:name="_Toc153345601"/>
      <w:bookmarkStart w:id="121" w:name="_Toc30321400"/>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53345602"/>
      <w:bookmarkStart w:id="124" w:name="_Toc30321447"/>
      <w:bookmarkStart w:id="125" w:name="_Toc30321401"/>
      <w:bookmarkStart w:id="126" w:name="_Toc47593247"/>
      <w:bookmarkStart w:id="127" w:name="_Toc1880000984"/>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153345603"/>
      <w:bookmarkStart w:id="130" w:name="_Toc30321448"/>
      <w:bookmarkStart w:id="131" w:name="_Toc958547277"/>
      <w:bookmarkStart w:id="132" w:name="_Toc30321402"/>
      <w:bookmarkStart w:id="133" w:name="_Toc47593248"/>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47593240_副本_1"/>
      <w:bookmarkStart w:id="136" w:name="_Toc30321449"/>
      <w:bookmarkStart w:id="137" w:name="_Toc30321403"/>
      <w:bookmarkStart w:id="138" w:name="_Toc153345595_副本_1"/>
      <w:bookmarkStart w:id="139" w:name="_Toc1406991709"/>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w:t>
      </w:r>
      <w:r>
        <w:rPr>
          <w:rFonts w:ascii="华文宋体" w:hAnsi="华文宋体" w:eastAsia="华文宋体"/>
          <w:b/>
          <w:bCs/>
        </w:rPr>
        <w:t>雄</w:t>
      </w:r>
      <w:r>
        <w:rPr>
          <w:rFonts w:ascii="华文宋体" w:hAnsi="华文宋体" w:eastAsia="华文宋体"/>
          <w:color w:val="7F7F7F"/>
          <w:sz w:val="15"/>
          <w:szCs w:val="13"/>
        </w:rPr>
        <w:t>（强有力）</w:t>
      </w:r>
      <w:r>
        <w:rPr>
          <w:rFonts w:ascii="华文宋体" w:hAnsi="华文宋体" w:eastAsia="华文宋体"/>
        </w:rPr>
        <w:t>而不</w:t>
      </w:r>
      <w:r>
        <w:rPr>
          <w:rFonts w:ascii="华文宋体" w:hAnsi="华文宋体" w:eastAsia="华文宋体"/>
          <w:b/>
          <w:bCs/>
        </w:rPr>
        <w:t>滞</w:t>
      </w:r>
      <w:r>
        <w:rPr>
          <w:rFonts w:ascii="华文宋体" w:hAnsi="华文宋体" w:eastAsia="华文宋体"/>
          <w:color w:val="7F7F7F"/>
          <w:sz w:val="15"/>
          <w:szCs w:val="13"/>
        </w:rPr>
        <w:t>（停止；阻塞；静止）</w:t>
      </w:r>
      <w:r>
        <w:rPr>
          <w:rFonts w:ascii="华文宋体" w:hAnsi="华文宋体" w:eastAsia="华文宋体"/>
        </w:rPr>
        <w:t>，其犹决水转石，谁能当</w:t>
      </w:r>
      <w:r>
        <w:rPr>
          <w:rFonts w:ascii="华文宋体" w:hAnsi="华文宋体" w:eastAsia="华文宋体"/>
          <w:b/>
          <w:bCs/>
        </w:rPr>
        <w:t>御</w:t>
      </w:r>
      <w:r>
        <w:rPr>
          <w:rFonts w:ascii="华文宋体" w:hAnsi="华文宋体" w:eastAsia="华文宋体"/>
          <w:color w:val="7F7F7F"/>
          <w:sz w:val="15"/>
          <w:szCs w:val="13"/>
        </w:rPr>
        <w:t>（抵抗、抵挡）</w:t>
      </w:r>
      <w:r>
        <w:rPr>
          <w:rFonts w:ascii="华文宋体" w:hAnsi="华文宋体" w:eastAsia="华文宋体"/>
        </w:rPr>
        <w:t>哉！持枢，谓春生、夏长、秋收、冬藏，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能做到强有力并且不被阻塞，其犹如决开积水、转动圆石，谁能抵挡防御呢！持枢（抓住关键），就是说春季让万物萌长，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76662972"/>
      <w:bookmarkStart w:id="142" w:name="_Toc153345596_副本_1"/>
      <w:bookmarkStart w:id="143" w:name="_Toc47593241_副本_1"/>
      <w:bookmarkStart w:id="144" w:name="_Toc30321404"/>
      <w:bookmarkStart w:id="145" w:name="_Toc30321450"/>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character" w:styleId="user">
    <w:name w:val="索引链接 (user)"/>
    <w:qFormat/>
    <w:rPr/>
  </w:style>
  <w:style w:type="paragraph" w:styleId="Style13" w:customStyle="1">
    <w:name w:val="标题样式"/>
    <w:basedOn w:val="Normal"/>
    <w:next w:val="BodyText"/>
    <w:uiPriority w:val="0"/>
    <w:qFormat/>
    <w:pPr>
      <w:keepNext w:val="true"/>
      <w:widowControl/>
      <w:suppressAutoHyphens w:val="true"/>
      <w:spacing w:before="240" w:after="120"/>
    </w:pPr>
    <w:rPr>
      <w:rFonts w:ascii="Liberation Sans" w:hAnsi="Liberation Sans" w:eastAsia="Noto Sans CJK SC"/>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widowControl/>
      <w:suppressLineNumbers/>
      <w:suppressAutoHyphens w:val="true"/>
    </w:pPr>
    <w:rPr/>
  </w:style>
  <w:style w:type="paragraph" w:styleId="user1">
    <w:name w:val="标题样式 (user)"/>
    <w:basedOn w:val="Normal"/>
    <w:next w:val="BodyText"/>
    <w:qFormat/>
    <w:pPr>
      <w:keepNext w:val="true"/>
      <w:spacing w:before="240" w:after="120"/>
    </w:pPr>
    <w:rPr>
      <w:rFonts w:ascii="Liberation Sans" w:hAnsi="Liberation Sans" w:eastAsia="Noto Sans CJK SC" w:cs="Lucida Sans"/>
      <w:sz w:val="28"/>
      <w:szCs w:val="28"/>
    </w:rPr>
  </w:style>
  <w:style w:type="paragraph" w:styleId="user2">
    <w:name w:val="索引 (user)"/>
    <w:basedOn w:val="Normal"/>
    <w:qFormat/>
    <w:pPr>
      <w:suppressLineNumbers/>
    </w:pPr>
    <w:rPr>
      <w:rFonts w:cs="Lucida Sans"/>
    </w:rPr>
  </w:style>
  <w:style w:type="paragraph" w:styleId="Style15" w:customStyle="1">
    <w:name w:val="页眉与页脚"/>
    <w:basedOn w:val="Normal"/>
    <w:uiPriority w:val="0"/>
    <w:qFormat/>
    <w:pPr>
      <w:widowControl/>
      <w:suppressLineNumbers/>
      <w:suppressAutoHyphens w:val="true"/>
    </w:pPr>
    <w:rPr/>
  </w:style>
  <w:style w:type="paragraph" w:styleId="user3">
    <w:name w:val="页眉与页脚 (user)"/>
    <w:basedOn w:val="Normal"/>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923</TotalTime>
  <Application>LibreOffice/25.2.0.3$Linux_X86_64 LibreOffice_project/e1cf4a87eb02d755bce1a01209907ea5ddc8f069</Application>
  <AppVersion>15.0000</AppVersion>
  <Pages>29</Pages>
  <Words>37466</Words>
  <Characters>37607</Characters>
  <CharactersWithSpaces>37667</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2025-02-28T20:22:05Z</dcterms:modified>
  <cp:revision>257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